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4C469" w14:textId="77777777" w:rsidR="004C24EC" w:rsidRPr="000061EB" w:rsidRDefault="004C24EC">
      <w:pPr>
        <w:widowControl/>
        <w:jc w:val="center"/>
        <w:rPr>
          <w:rFonts w:ascii="Gill Sans MT" w:hAnsi="Gill Sans MT" w:cs="Arial"/>
          <w:b/>
          <w:sz w:val="24"/>
          <w:szCs w:val="24"/>
          <w:u w:val="single"/>
        </w:rPr>
      </w:pPr>
      <w:r w:rsidRPr="000061EB">
        <w:rPr>
          <w:rFonts w:ascii="Gill Sans MT" w:hAnsi="Gill Sans MT" w:cs="Arial"/>
          <w:b/>
          <w:noProof/>
          <w:sz w:val="24"/>
          <w:szCs w:val="24"/>
          <w:u w:val="single"/>
          <w:lang w:eastAsia="en-GB"/>
        </w:rPr>
        <w:drawing>
          <wp:anchor distT="0" distB="0" distL="114300" distR="114300" simplePos="0" relativeHeight="251658240" behindDoc="0" locked="0" layoutInCell="1" allowOverlap="1" wp14:anchorId="22068A3A" wp14:editId="6FF1A26B">
            <wp:simplePos x="0" y="0"/>
            <wp:positionH relativeFrom="page">
              <wp:align>center</wp:align>
            </wp:positionH>
            <wp:positionV relativeFrom="paragraph">
              <wp:posOffset>-733425</wp:posOffset>
            </wp:positionV>
            <wp:extent cx="2286000" cy="1434075"/>
            <wp:effectExtent l="0" t="0" r="0" b="0"/>
            <wp:wrapNone/>
            <wp:docPr id="1" name="Picture 1" descr="C:\Users\rhsjoakj1\AppData\Local\Microsoft\Windows\INetCache\Content.Outlook\OI73QCBY\Bath_Logo no writing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sjoakj1\AppData\Local\Microsoft\Windows\INetCache\Content.Outlook\OI73QCBY\Bath_Logo no writing (00000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43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F96F6" w14:textId="77777777" w:rsidR="004C24EC" w:rsidRPr="000061EB" w:rsidRDefault="004C24EC">
      <w:pPr>
        <w:widowControl/>
        <w:jc w:val="center"/>
        <w:rPr>
          <w:rFonts w:ascii="Gill Sans MT" w:hAnsi="Gill Sans MT" w:cs="Arial"/>
          <w:b/>
          <w:sz w:val="24"/>
          <w:szCs w:val="24"/>
          <w:u w:val="single"/>
        </w:rPr>
      </w:pPr>
    </w:p>
    <w:p w14:paraId="4F4F124A" w14:textId="77777777" w:rsidR="004C24EC" w:rsidRPr="000061EB" w:rsidRDefault="004C24EC">
      <w:pPr>
        <w:widowControl/>
        <w:jc w:val="center"/>
        <w:rPr>
          <w:rFonts w:ascii="Gill Sans MT" w:hAnsi="Gill Sans MT" w:cs="Arial"/>
          <w:b/>
          <w:sz w:val="24"/>
          <w:szCs w:val="24"/>
          <w:u w:val="single"/>
        </w:rPr>
      </w:pPr>
    </w:p>
    <w:p w14:paraId="277D8032" w14:textId="77777777" w:rsidR="004C24EC" w:rsidRPr="000061EB" w:rsidRDefault="004C24EC">
      <w:pPr>
        <w:widowControl/>
        <w:jc w:val="center"/>
        <w:rPr>
          <w:rFonts w:ascii="Gill Sans MT" w:hAnsi="Gill Sans MT" w:cs="Arial"/>
          <w:b/>
          <w:sz w:val="24"/>
          <w:szCs w:val="24"/>
          <w:u w:val="single"/>
        </w:rPr>
      </w:pPr>
    </w:p>
    <w:p w14:paraId="14ABB371" w14:textId="77777777" w:rsidR="004C24EC" w:rsidRPr="000061EB" w:rsidRDefault="004C24EC">
      <w:pPr>
        <w:widowControl/>
        <w:jc w:val="center"/>
        <w:rPr>
          <w:rFonts w:ascii="Gill Sans MT" w:hAnsi="Gill Sans MT" w:cs="Arial"/>
          <w:b/>
          <w:sz w:val="24"/>
          <w:szCs w:val="24"/>
          <w:u w:val="single"/>
        </w:rPr>
      </w:pPr>
    </w:p>
    <w:p w14:paraId="1A0FAF26" w14:textId="65B333B6" w:rsidR="00EB702A" w:rsidRPr="000061EB" w:rsidRDefault="004C24EC">
      <w:pPr>
        <w:widowControl/>
        <w:jc w:val="center"/>
        <w:rPr>
          <w:rFonts w:ascii="Gill Sans MT" w:hAnsi="Gill Sans MT" w:cs="Arial"/>
          <w:b/>
          <w:sz w:val="24"/>
          <w:szCs w:val="24"/>
          <w:u w:val="single"/>
        </w:rPr>
      </w:pPr>
      <w:r w:rsidRPr="000061EB">
        <w:rPr>
          <w:rFonts w:ascii="Gill Sans MT" w:hAnsi="Gill Sans MT" w:cs="Arial"/>
          <w:b/>
          <w:sz w:val="24"/>
          <w:szCs w:val="24"/>
          <w:u w:val="single"/>
        </w:rPr>
        <w:t>Prep</w:t>
      </w:r>
      <w:r w:rsidR="00870D01" w:rsidRPr="000061EB">
        <w:rPr>
          <w:rFonts w:ascii="Gill Sans MT" w:hAnsi="Gill Sans MT" w:cs="Arial"/>
          <w:b/>
          <w:sz w:val="24"/>
          <w:szCs w:val="24"/>
          <w:u w:val="single"/>
        </w:rPr>
        <w:t xml:space="preserve"> School </w:t>
      </w:r>
      <w:r w:rsidR="00870D01" w:rsidRPr="000061EB">
        <w:rPr>
          <w:rFonts w:ascii="Gill Sans MT" w:hAnsi="Gill Sans MT" w:cs="Arial"/>
          <w:b/>
          <w:i/>
          <w:sz w:val="24"/>
          <w:szCs w:val="24"/>
          <w:u w:val="single"/>
        </w:rPr>
        <w:t xml:space="preserve">(Y1 – Y6) </w:t>
      </w:r>
      <w:r w:rsidR="00870D01" w:rsidRPr="000061EB">
        <w:rPr>
          <w:rFonts w:ascii="Gill Sans MT" w:hAnsi="Gill Sans MT" w:cs="Arial"/>
          <w:b/>
          <w:sz w:val="24"/>
          <w:szCs w:val="24"/>
          <w:u w:val="single"/>
        </w:rPr>
        <w:t>Curriculum Policy [</w:t>
      </w:r>
      <w:r w:rsidR="00150540" w:rsidRPr="000061EB">
        <w:rPr>
          <w:rFonts w:ascii="Gill Sans MT" w:hAnsi="Gill Sans MT" w:cs="Arial"/>
          <w:b/>
          <w:sz w:val="24"/>
          <w:szCs w:val="24"/>
          <w:u w:val="single"/>
        </w:rPr>
        <w:t>Claire Lilley] 2020/21</w:t>
      </w:r>
    </w:p>
    <w:p w14:paraId="66BF0803" w14:textId="77777777" w:rsidR="00EB702A" w:rsidRPr="000061EB" w:rsidRDefault="00EB702A">
      <w:pPr>
        <w:widowControl/>
        <w:jc w:val="center"/>
        <w:rPr>
          <w:rFonts w:ascii="Gill Sans MT" w:hAnsi="Gill Sans MT" w:cs="Arial"/>
          <w:b/>
          <w:sz w:val="22"/>
          <w:szCs w:val="24"/>
        </w:rPr>
      </w:pPr>
    </w:p>
    <w:p w14:paraId="49A358AB" w14:textId="77777777" w:rsidR="00EB702A" w:rsidRPr="000061EB" w:rsidRDefault="00EB702A">
      <w:pPr>
        <w:widowControl/>
        <w:ind w:firstLine="720"/>
        <w:rPr>
          <w:rFonts w:ascii="Gill Sans MT" w:hAnsi="Gill Sans MT" w:cs="Arial"/>
          <w:b/>
          <w:sz w:val="22"/>
          <w:szCs w:val="22"/>
          <w:u w:val="single"/>
        </w:rPr>
      </w:pPr>
    </w:p>
    <w:p w14:paraId="1A8D8272" w14:textId="77777777" w:rsidR="00EB702A" w:rsidRPr="000061EB" w:rsidRDefault="00870D01">
      <w:pPr>
        <w:widowControl/>
        <w:jc w:val="both"/>
        <w:rPr>
          <w:rFonts w:ascii="Gill Sans MT" w:hAnsi="Gill Sans MT" w:cs="Arial"/>
          <w:sz w:val="22"/>
          <w:szCs w:val="22"/>
        </w:rPr>
      </w:pPr>
      <w:r w:rsidRPr="000061EB">
        <w:rPr>
          <w:rFonts w:ascii="Gill Sans MT" w:hAnsi="Gill Sans MT" w:cs="Arial"/>
          <w:b/>
          <w:sz w:val="22"/>
          <w:szCs w:val="22"/>
        </w:rPr>
        <w:t>Applicable to:</w:t>
      </w:r>
      <w:r w:rsidRPr="000061EB">
        <w:rPr>
          <w:rFonts w:ascii="Gill Sans MT" w:hAnsi="Gill Sans MT" w:cs="Arial"/>
          <w:sz w:val="22"/>
          <w:szCs w:val="22"/>
        </w:rPr>
        <w:t xml:space="preserve">  All pupils, parents/carers and staff.</w:t>
      </w:r>
    </w:p>
    <w:p w14:paraId="41D21F96" w14:textId="77777777" w:rsidR="00EB702A" w:rsidRPr="000061EB" w:rsidRDefault="00EB702A">
      <w:pPr>
        <w:widowControl/>
        <w:jc w:val="both"/>
        <w:rPr>
          <w:rFonts w:ascii="Gill Sans MT" w:hAnsi="Gill Sans MT" w:cs="Arial"/>
          <w:b/>
          <w:sz w:val="22"/>
          <w:szCs w:val="22"/>
        </w:rPr>
      </w:pPr>
    </w:p>
    <w:p w14:paraId="3512A4F8" w14:textId="77777777" w:rsidR="00EB702A" w:rsidRPr="000061EB" w:rsidRDefault="00870D01">
      <w:pPr>
        <w:widowControl/>
        <w:jc w:val="both"/>
        <w:rPr>
          <w:rFonts w:ascii="Gill Sans MT" w:hAnsi="Gill Sans MT" w:cs="Arial"/>
          <w:b/>
          <w:sz w:val="22"/>
          <w:szCs w:val="22"/>
        </w:rPr>
      </w:pPr>
      <w:r w:rsidRPr="000061EB">
        <w:rPr>
          <w:rFonts w:ascii="Gill Sans MT" w:hAnsi="Gill Sans MT" w:cs="Arial"/>
          <w:b/>
          <w:sz w:val="22"/>
          <w:szCs w:val="22"/>
        </w:rPr>
        <w:t xml:space="preserve">Aims: </w:t>
      </w:r>
    </w:p>
    <w:p w14:paraId="274F9204" w14:textId="77777777" w:rsidR="00EB702A" w:rsidRPr="000061EB" w:rsidRDefault="00EB702A">
      <w:pPr>
        <w:widowControl/>
        <w:jc w:val="both"/>
        <w:rPr>
          <w:rFonts w:ascii="Gill Sans MT" w:hAnsi="Gill Sans MT" w:cs="Arial"/>
          <w:b/>
          <w:i/>
          <w:sz w:val="22"/>
          <w:szCs w:val="22"/>
        </w:rPr>
      </w:pPr>
    </w:p>
    <w:p w14:paraId="32A167B7" w14:textId="77777777" w:rsidR="00EB702A" w:rsidRPr="000061EB" w:rsidRDefault="00870D01">
      <w:pPr>
        <w:pStyle w:val="BodyText3"/>
        <w:widowControl/>
        <w:numPr>
          <w:ilvl w:val="0"/>
          <w:numId w:val="1"/>
        </w:numPr>
        <w:tabs>
          <w:tab w:val="left" w:pos="360"/>
        </w:tabs>
        <w:jc w:val="both"/>
        <w:rPr>
          <w:rFonts w:ascii="Gill Sans MT" w:hAnsi="Gill Sans MT" w:cs="Arial"/>
          <w:sz w:val="22"/>
          <w:szCs w:val="22"/>
        </w:rPr>
      </w:pPr>
      <w:r w:rsidRPr="000061EB">
        <w:rPr>
          <w:rFonts w:ascii="Gill Sans MT" w:hAnsi="Gill Sans MT" w:cs="Arial"/>
          <w:sz w:val="22"/>
          <w:szCs w:val="22"/>
        </w:rPr>
        <w:t xml:space="preserve">To provide a curriculum that encompasses a philosophy and practice that is focussed on providing the richest, most engaging and valuable learning experiences for every child in the Royal High </w:t>
      </w:r>
      <w:r w:rsidR="004C24EC" w:rsidRPr="000061EB">
        <w:rPr>
          <w:rFonts w:ascii="Gill Sans MT" w:hAnsi="Gill Sans MT" w:cs="Arial"/>
          <w:sz w:val="22"/>
          <w:szCs w:val="22"/>
        </w:rPr>
        <w:t>Prep</w:t>
      </w:r>
      <w:r w:rsidRPr="000061EB">
        <w:rPr>
          <w:rFonts w:ascii="Gill Sans MT" w:hAnsi="Gill Sans MT" w:cs="Arial"/>
          <w:sz w:val="22"/>
          <w:szCs w:val="22"/>
        </w:rPr>
        <w:t xml:space="preserve"> School.</w:t>
      </w:r>
    </w:p>
    <w:p w14:paraId="75149D29" w14:textId="77777777" w:rsidR="00EB702A" w:rsidRPr="000061EB" w:rsidRDefault="00EB702A">
      <w:pPr>
        <w:pStyle w:val="BodyText3"/>
        <w:widowControl/>
        <w:tabs>
          <w:tab w:val="left" w:pos="360"/>
        </w:tabs>
        <w:ind w:left="360"/>
        <w:jc w:val="both"/>
        <w:rPr>
          <w:rFonts w:ascii="Gill Sans MT" w:hAnsi="Gill Sans MT" w:cs="Arial"/>
          <w:sz w:val="22"/>
          <w:szCs w:val="22"/>
        </w:rPr>
      </w:pPr>
    </w:p>
    <w:p w14:paraId="32DE2B40" w14:textId="77777777" w:rsidR="00EB702A" w:rsidRPr="000061EB" w:rsidRDefault="00870D01">
      <w:pPr>
        <w:pStyle w:val="BodyText3"/>
        <w:widowControl/>
        <w:numPr>
          <w:ilvl w:val="0"/>
          <w:numId w:val="1"/>
        </w:numPr>
        <w:tabs>
          <w:tab w:val="left" w:pos="360"/>
        </w:tabs>
        <w:jc w:val="both"/>
        <w:rPr>
          <w:rFonts w:ascii="Gill Sans MT" w:hAnsi="Gill Sans MT" w:cs="Arial"/>
          <w:sz w:val="22"/>
          <w:szCs w:val="22"/>
        </w:rPr>
      </w:pPr>
      <w:r w:rsidRPr="000061EB">
        <w:rPr>
          <w:rFonts w:ascii="Gill Sans MT" w:hAnsi="Gill Sans MT" w:cs="Arial"/>
          <w:sz w:val="22"/>
          <w:szCs w:val="22"/>
        </w:rPr>
        <w:t xml:space="preserve">To ensure that the curriculum from Year 1 to Year 6 meets the needs of all pupils and enables them to learn in the most effective ways possible (please see SEND and GT and HM policy).  </w:t>
      </w:r>
    </w:p>
    <w:p w14:paraId="102E0BBF" w14:textId="77777777" w:rsidR="00EB702A" w:rsidRPr="000061EB" w:rsidRDefault="00EB702A">
      <w:pPr>
        <w:pStyle w:val="BodyText3"/>
        <w:widowControl/>
        <w:tabs>
          <w:tab w:val="left" w:pos="360"/>
        </w:tabs>
        <w:ind w:left="360"/>
        <w:jc w:val="both"/>
        <w:rPr>
          <w:rFonts w:ascii="Gill Sans MT" w:hAnsi="Gill Sans MT" w:cs="Arial"/>
          <w:sz w:val="22"/>
          <w:szCs w:val="22"/>
        </w:rPr>
      </w:pPr>
    </w:p>
    <w:p w14:paraId="51855B87" w14:textId="77777777" w:rsidR="00EB702A" w:rsidRPr="000061EB" w:rsidRDefault="00870D01">
      <w:pPr>
        <w:pStyle w:val="BodyText3"/>
        <w:widowControl/>
        <w:numPr>
          <w:ilvl w:val="0"/>
          <w:numId w:val="1"/>
        </w:numPr>
        <w:tabs>
          <w:tab w:val="left" w:pos="360"/>
        </w:tabs>
        <w:jc w:val="both"/>
        <w:rPr>
          <w:rFonts w:ascii="Gill Sans MT" w:hAnsi="Gill Sans MT" w:cs="Arial"/>
          <w:sz w:val="22"/>
          <w:szCs w:val="22"/>
        </w:rPr>
      </w:pPr>
      <w:r w:rsidRPr="000061EB">
        <w:rPr>
          <w:rFonts w:ascii="Gill Sans MT" w:hAnsi="Gill Sans MT" w:cs="Arial"/>
          <w:sz w:val="22"/>
          <w:szCs w:val="22"/>
        </w:rPr>
        <w:t>To provide a curriculum that ensures high performance and success whilst also ensuring learning takes place in a wide range of contexts and around a wide range of themes to ensure pupils’ experiences are broad and stimulating, enabling learners to explore and develop individual interests and strengths as well as address weaknesses.</w:t>
      </w:r>
    </w:p>
    <w:p w14:paraId="04152C47" w14:textId="77777777" w:rsidR="00EB702A" w:rsidRPr="000061EB" w:rsidRDefault="00EB702A">
      <w:pPr>
        <w:pStyle w:val="BodyText3"/>
        <w:widowControl/>
        <w:tabs>
          <w:tab w:val="left" w:pos="360"/>
        </w:tabs>
        <w:ind w:left="360"/>
        <w:jc w:val="both"/>
        <w:rPr>
          <w:rFonts w:ascii="Gill Sans MT" w:hAnsi="Gill Sans MT" w:cs="Arial"/>
          <w:sz w:val="22"/>
          <w:szCs w:val="22"/>
        </w:rPr>
      </w:pPr>
    </w:p>
    <w:p w14:paraId="3B50584A" w14:textId="77777777" w:rsidR="00EB702A" w:rsidRPr="000061EB" w:rsidRDefault="00870D01">
      <w:pPr>
        <w:pStyle w:val="BodyText3"/>
        <w:widowControl/>
        <w:numPr>
          <w:ilvl w:val="0"/>
          <w:numId w:val="1"/>
        </w:numPr>
        <w:tabs>
          <w:tab w:val="left" w:pos="360"/>
        </w:tabs>
        <w:jc w:val="both"/>
        <w:rPr>
          <w:rFonts w:ascii="Gill Sans MT" w:hAnsi="Gill Sans MT" w:cs="Arial"/>
          <w:sz w:val="22"/>
          <w:szCs w:val="22"/>
        </w:rPr>
      </w:pPr>
      <w:r w:rsidRPr="000061EB">
        <w:rPr>
          <w:rFonts w:ascii="Gill Sans MT" w:hAnsi="Gill Sans MT" w:cs="Arial"/>
          <w:sz w:val="22"/>
          <w:szCs w:val="22"/>
        </w:rPr>
        <w:t>To operate in accordance with the Equality Act (2102), our SEND Policy and our Gifted, Talented and Highly Motivated Policy across all provision including the ASC, Holiday Club and Key Stages 1 &amp; 2.</w:t>
      </w:r>
    </w:p>
    <w:p w14:paraId="1457E714" w14:textId="77777777" w:rsidR="00EB702A" w:rsidRPr="000061EB" w:rsidRDefault="00EB702A">
      <w:pPr>
        <w:pStyle w:val="ListParagraph"/>
        <w:rPr>
          <w:rFonts w:ascii="Gill Sans MT" w:hAnsi="Gill Sans MT" w:cs="Arial"/>
          <w:sz w:val="22"/>
          <w:szCs w:val="22"/>
        </w:rPr>
      </w:pPr>
    </w:p>
    <w:p w14:paraId="0B4895BA" w14:textId="77777777" w:rsidR="00EB702A" w:rsidRPr="000061EB" w:rsidRDefault="00870D01">
      <w:pPr>
        <w:pStyle w:val="BodyText3"/>
        <w:widowControl/>
        <w:numPr>
          <w:ilvl w:val="0"/>
          <w:numId w:val="1"/>
        </w:numPr>
        <w:tabs>
          <w:tab w:val="left" w:pos="360"/>
        </w:tabs>
        <w:jc w:val="both"/>
        <w:rPr>
          <w:rFonts w:ascii="Gill Sans MT" w:hAnsi="Gill Sans MT" w:cs="Arial"/>
          <w:sz w:val="22"/>
          <w:szCs w:val="22"/>
        </w:rPr>
      </w:pPr>
      <w:r w:rsidRPr="000061EB">
        <w:rPr>
          <w:rFonts w:ascii="Gill Sans MT" w:hAnsi="Gill Sans MT" w:cs="Arial"/>
          <w:sz w:val="22"/>
          <w:szCs w:val="22"/>
        </w:rPr>
        <w:t>To promote British values across all provision and including the ASC, Holiday Club and Key Stages 1 &amp; 2.</w:t>
      </w:r>
    </w:p>
    <w:p w14:paraId="7AA4C188" w14:textId="77777777" w:rsidR="00EB702A" w:rsidRPr="000061EB" w:rsidRDefault="00EB702A">
      <w:pPr>
        <w:pStyle w:val="BodyText3"/>
        <w:widowControl/>
        <w:tabs>
          <w:tab w:val="left" w:pos="360"/>
        </w:tabs>
        <w:jc w:val="both"/>
        <w:rPr>
          <w:rFonts w:ascii="Gill Sans MT" w:hAnsi="Gill Sans MT" w:cs="Arial"/>
          <w:sz w:val="22"/>
          <w:szCs w:val="22"/>
        </w:rPr>
      </w:pPr>
    </w:p>
    <w:p w14:paraId="1DA16AC1" w14:textId="77777777" w:rsidR="00EB702A" w:rsidRPr="000061EB" w:rsidRDefault="00870D01">
      <w:pPr>
        <w:widowControl/>
        <w:numPr>
          <w:ilvl w:val="0"/>
          <w:numId w:val="1"/>
        </w:numPr>
        <w:jc w:val="both"/>
        <w:rPr>
          <w:rFonts w:ascii="Gill Sans MT" w:hAnsi="Gill Sans MT" w:cs="Arial"/>
          <w:sz w:val="22"/>
          <w:szCs w:val="22"/>
        </w:rPr>
      </w:pPr>
      <w:r w:rsidRPr="000061EB">
        <w:rPr>
          <w:rFonts w:ascii="Gill Sans MT" w:hAnsi="Gill Sans MT" w:cs="Arial"/>
          <w:sz w:val="22"/>
          <w:szCs w:val="22"/>
        </w:rPr>
        <w:t>To ensure that creative, social, spiritual and intellectual development of the whole child is nurtured.</w:t>
      </w:r>
    </w:p>
    <w:p w14:paraId="54893AC4" w14:textId="77777777" w:rsidR="00EB702A" w:rsidRPr="000061EB" w:rsidRDefault="00EB702A">
      <w:pPr>
        <w:rPr>
          <w:rFonts w:ascii="Gill Sans MT" w:hAnsi="Gill Sans MT"/>
          <w:sz w:val="22"/>
          <w:szCs w:val="22"/>
        </w:rPr>
      </w:pPr>
    </w:p>
    <w:p w14:paraId="2FA04413" w14:textId="77777777" w:rsidR="00EB702A" w:rsidRPr="000061EB" w:rsidRDefault="00870D01">
      <w:pPr>
        <w:pStyle w:val="BodyText3"/>
        <w:widowControl/>
        <w:numPr>
          <w:ilvl w:val="0"/>
          <w:numId w:val="1"/>
        </w:numPr>
        <w:tabs>
          <w:tab w:val="left" w:pos="360"/>
        </w:tabs>
        <w:jc w:val="both"/>
        <w:rPr>
          <w:rFonts w:ascii="Gill Sans MT" w:hAnsi="Gill Sans MT" w:cs="Arial"/>
          <w:sz w:val="22"/>
          <w:szCs w:val="22"/>
        </w:rPr>
      </w:pPr>
      <w:r w:rsidRPr="000061EB">
        <w:rPr>
          <w:rFonts w:ascii="Gill Sans MT" w:hAnsi="Gill Sans MT" w:cs="Arial"/>
          <w:sz w:val="22"/>
          <w:szCs w:val="22"/>
        </w:rPr>
        <w:t>To ensure that the curriculum is based on the structure and parameters of the National Curriculum but not limited by it.</w:t>
      </w:r>
    </w:p>
    <w:p w14:paraId="326062B2" w14:textId="77777777" w:rsidR="00EB702A" w:rsidRPr="000061EB" w:rsidRDefault="00EB702A">
      <w:pPr>
        <w:pStyle w:val="BodyText3"/>
        <w:widowControl/>
        <w:tabs>
          <w:tab w:val="left" w:pos="360"/>
        </w:tabs>
        <w:jc w:val="both"/>
        <w:rPr>
          <w:rFonts w:ascii="Gill Sans MT" w:hAnsi="Gill Sans MT" w:cs="Arial"/>
          <w:sz w:val="22"/>
          <w:szCs w:val="22"/>
        </w:rPr>
      </w:pPr>
    </w:p>
    <w:p w14:paraId="36B71FAE" w14:textId="77777777" w:rsidR="00EB702A" w:rsidRPr="000061EB" w:rsidRDefault="00870D01">
      <w:pPr>
        <w:widowControl/>
        <w:numPr>
          <w:ilvl w:val="0"/>
          <w:numId w:val="1"/>
        </w:numPr>
        <w:jc w:val="both"/>
        <w:rPr>
          <w:rFonts w:ascii="Gill Sans MT" w:hAnsi="Gill Sans MT" w:cs="Arial"/>
          <w:sz w:val="22"/>
          <w:szCs w:val="22"/>
        </w:rPr>
      </w:pPr>
      <w:r w:rsidRPr="000061EB">
        <w:rPr>
          <w:rFonts w:ascii="Gill Sans MT" w:hAnsi="Gill Sans MT" w:cs="Arial"/>
          <w:sz w:val="22"/>
          <w:szCs w:val="22"/>
        </w:rPr>
        <w:t>To provide opportunities for students to apply their knowledge and understanding in problem solving and investigative situations.</w:t>
      </w:r>
    </w:p>
    <w:p w14:paraId="2A4727F6" w14:textId="77777777" w:rsidR="00EB702A" w:rsidRPr="000061EB" w:rsidRDefault="00EB702A">
      <w:pPr>
        <w:pStyle w:val="BodyText3"/>
        <w:widowControl/>
        <w:tabs>
          <w:tab w:val="left" w:pos="360"/>
        </w:tabs>
        <w:jc w:val="both"/>
        <w:rPr>
          <w:rFonts w:ascii="Gill Sans MT" w:hAnsi="Gill Sans MT" w:cs="Arial"/>
          <w:sz w:val="22"/>
          <w:szCs w:val="22"/>
        </w:rPr>
      </w:pPr>
    </w:p>
    <w:p w14:paraId="06D4C25E" w14:textId="77777777" w:rsidR="00EB702A" w:rsidRPr="000061EB" w:rsidRDefault="00870D01">
      <w:pPr>
        <w:pStyle w:val="BodyText3"/>
        <w:widowControl/>
        <w:numPr>
          <w:ilvl w:val="0"/>
          <w:numId w:val="1"/>
        </w:numPr>
        <w:tabs>
          <w:tab w:val="left" w:pos="360"/>
        </w:tabs>
        <w:jc w:val="both"/>
        <w:rPr>
          <w:rFonts w:ascii="Gill Sans MT" w:hAnsi="Gill Sans MT" w:cs="Arial"/>
          <w:sz w:val="22"/>
          <w:szCs w:val="22"/>
        </w:rPr>
      </w:pPr>
      <w:r w:rsidRPr="000061EB">
        <w:rPr>
          <w:rFonts w:ascii="Gill Sans MT" w:hAnsi="Gill Sans MT" w:cs="Arial"/>
          <w:sz w:val="22"/>
          <w:szCs w:val="22"/>
        </w:rPr>
        <w:t>To ensure that the curriculum is consistent with approaches adopted at the Senior School, ensuring ‘right-through’ provision and consistency of learning.</w:t>
      </w:r>
    </w:p>
    <w:p w14:paraId="2B3133E4" w14:textId="77777777" w:rsidR="00EB702A" w:rsidRPr="000061EB" w:rsidRDefault="00EB702A">
      <w:pPr>
        <w:widowControl/>
        <w:jc w:val="both"/>
        <w:rPr>
          <w:rFonts w:ascii="Gill Sans MT" w:hAnsi="Gill Sans MT" w:cs="Arial"/>
          <w:sz w:val="22"/>
          <w:szCs w:val="22"/>
        </w:rPr>
      </w:pPr>
    </w:p>
    <w:p w14:paraId="19A07DF5" w14:textId="77777777" w:rsidR="00EB702A" w:rsidRPr="000061EB" w:rsidRDefault="00870D01">
      <w:pPr>
        <w:widowControl/>
        <w:jc w:val="both"/>
        <w:rPr>
          <w:rFonts w:ascii="Gill Sans MT" w:hAnsi="Gill Sans MT" w:cs="Arial"/>
          <w:b/>
          <w:sz w:val="22"/>
          <w:szCs w:val="22"/>
        </w:rPr>
      </w:pPr>
      <w:r w:rsidRPr="000061EB">
        <w:rPr>
          <w:rFonts w:ascii="Gill Sans MT" w:hAnsi="Gill Sans MT" w:cs="Arial"/>
          <w:b/>
          <w:sz w:val="22"/>
          <w:szCs w:val="22"/>
        </w:rPr>
        <w:t>Rationale:</w:t>
      </w:r>
    </w:p>
    <w:p w14:paraId="3D0CE876" w14:textId="77777777" w:rsidR="00EB702A" w:rsidRPr="000061EB" w:rsidRDefault="00EB702A">
      <w:pPr>
        <w:widowControl/>
        <w:jc w:val="both"/>
        <w:rPr>
          <w:rFonts w:ascii="Gill Sans MT" w:hAnsi="Gill Sans MT" w:cs="Arial"/>
          <w:b/>
          <w:sz w:val="22"/>
          <w:szCs w:val="22"/>
        </w:rPr>
      </w:pPr>
    </w:p>
    <w:p w14:paraId="333EC325" w14:textId="77777777" w:rsidR="00EB702A" w:rsidRPr="000061EB" w:rsidRDefault="00870D01">
      <w:pPr>
        <w:pStyle w:val="NormalWeb"/>
        <w:spacing w:before="0" w:beforeAutospacing="0" w:after="0" w:afterAutospacing="0"/>
        <w:jc w:val="both"/>
        <w:rPr>
          <w:rFonts w:ascii="Gill Sans MT" w:hAnsi="Gill Sans MT" w:cs="Arial"/>
          <w:sz w:val="22"/>
          <w:szCs w:val="22"/>
        </w:rPr>
      </w:pPr>
      <w:r w:rsidRPr="000061EB">
        <w:rPr>
          <w:rFonts w:ascii="Gill Sans MT" w:hAnsi="Gill Sans MT" w:cs="Arial"/>
          <w:sz w:val="22"/>
          <w:szCs w:val="22"/>
        </w:rPr>
        <w:t xml:space="preserve">We have named our curriculum at the Royal High </w:t>
      </w:r>
      <w:r w:rsidR="004C24EC" w:rsidRPr="000061EB">
        <w:rPr>
          <w:rFonts w:ascii="Gill Sans MT" w:hAnsi="Gill Sans MT" w:cs="Arial"/>
          <w:sz w:val="22"/>
          <w:szCs w:val="22"/>
        </w:rPr>
        <w:t>Prep</w:t>
      </w:r>
      <w:r w:rsidRPr="000061EB">
        <w:rPr>
          <w:rFonts w:ascii="Gill Sans MT" w:hAnsi="Gill Sans MT" w:cs="Arial"/>
          <w:sz w:val="22"/>
          <w:szCs w:val="22"/>
        </w:rPr>
        <w:t xml:space="preserve"> School </w:t>
      </w:r>
      <w:r w:rsidRPr="000061EB">
        <w:rPr>
          <w:rFonts w:ascii="Gill Sans MT" w:hAnsi="Gill Sans MT" w:cs="Arial"/>
          <w:b/>
          <w:i/>
          <w:sz w:val="22"/>
          <w:szCs w:val="22"/>
        </w:rPr>
        <w:t>The Cranwell Curriculum</w:t>
      </w:r>
      <w:r w:rsidRPr="000061EB">
        <w:rPr>
          <w:rFonts w:ascii="Gill Sans MT" w:hAnsi="Gill Sans MT" w:cs="Arial"/>
          <w:sz w:val="22"/>
          <w:szCs w:val="22"/>
        </w:rPr>
        <w:t>. It is a rich, diverse, unique, child-centred and enabling curriculum that provides</w:t>
      </w:r>
      <w:r w:rsidR="004C24EC" w:rsidRPr="000061EB">
        <w:rPr>
          <w:rFonts w:ascii="Gill Sans MT" w:hAnsi="Gill Sans MT" w:cs="Arial"/>
          <w:sz w:val="22"/>
          <w:szCs w:val="22"/>
        </w:rPr>
        <w:t xml:space="preserve"> the girls throughout the Prep</w:t>
      </w:r>
      <w:r w:rsidRPr="000061EB">
        <w:rPr>
          <w:rFonts w:ascii="Gill Sans MT" w:hAnsi="Gill Sans MT" w:cs="Arial"/>
          <w:sz w:val="22"/>
          <w:szCs w:val="22"/>
        </w:rPr>
        <w:t xml:space="preserve"> School with extra-ordinary learning opportunities and combines these unique learning opportunities with the rigour and detail required to deliver outstanding attainment in all areas of learning. It focuses on creative approaches to learning that enable genuine independence of thought and enquiry and that fosters a collaboration to develop understanding of the world and of the key concepts of citizenship, collective responsibility and British values.</w:t>
      </w:r>
    </w:p>
    <w:p w14:paraId="09D138D6" w14:textId="77777777" w:rsidR="00EB702A" w:rsidRPr="000061EB" w:rsidRDefault="00870D01">
      <w:pPr>
        <w:pStyle w:val="NormalWeb"/>
        <w:spacing w:before="0" w:beforeAutospacing="0" w:after="0" w:afterAutospacing="0"/>
        <w:jc w:val="both"/>
        <w:rPr>
          <w:rFonts w:ascii="Gill Sans MT" w:hAnsi="Gill Sans MT" w:cs="Arial"/>
          <w:sz w:val="22"/>
          <w:szCs w:val="22"/>
        </w:rPr>
      </w:pPr>
      <w:r w:rsidRPr="000061EB">
        <w:rPr>
          <w:rFonts w:ascii="Gill Sans MT" w:hAnsi="Gill Sans MT" w:cs="Arial"/>
          <w:sz w:val="22"/>
          <w:szCs w:val="22"/>
        </w:rPr>
        <w:t> </w:t>
      </w:r>
    </w:p>
    <w:p w14:paraId="3A7E2DC7" w14:textId="77777777" w:rsidR="00EB702A" w:rsidRPr="000061EB" w:rsidRDefault="00870D01">
      <w:pPr>
        <w:pStyle w:val="NormalWeb"/>
        <w:spacing w:before="0" w:beforeAutospacing="0" w:after="0" w:afterAutospacing="0"/>
        <w:jc w:val="both"/>
        <w:rPr>
          <w:rFonts w:ascii="Gill Sans MT" w:hAnsi="Gill Sans MT" w:cs="Arial"/>
          <w:sz w:val="22"/>
          <w:szCs w:val="22"/>
        </w:rPr>
      </w:pPr>
      <w:r w:rsidRPr="000061EB">
        <w:rPr>
          <w:rFonts w:ascii="Gill Sans MT" w:hAnsi="Gill Sans MT" w:cs="Arial"/>
          <w:sz w:val="22"/>
          <w:szCs w:val="22"/>
        </w:rPr>
        <w:t xml:space="preserve">The Cranwell Curriculum has a clearly defined structure that ensures a broad and balanced provision and stimulates learning, discussion and engagement drawing upon and evolving from the philosophies of the Reggio Emilia Schools. The Reggio approach provides a sound basis from which to involve girls in learning about the world and their relationship to it. It encourages exploration, discussion, creativity and reflection through a series of interactions with artefacts, spaces and other people. It is highly immersive and highly </w:t>
      </w:r>
      <w:r w:rsidRPr="000061EB">
        <w:rPr>
          <w:rFonts w:ascii="Gill Sans MT" w:hAnsi="Gill Sans MT" w:cs="Arial"/>
          <w:sz w:val="22"/>
          <w:szCs w:val="22"/>
        </w:rPr>
        <w:lastRenderedPageBreak/>
        <w:t>motivating for all learners. The approach involves the whole community, the girls, their teachers and their parents.</w:t>
      </w:r>
    </w:p>
    <w:p w14:paraId="15AF0270" w14:textId="77777777" w:rsidR="00EB702A" w:rsidRPr="000061EB" w:rsidRDefault="00870D01">
      <w:pPr>
        <w:pStyle w:val="NormalWeb"/>
        <w:spacing w:before="0" w:beforeAutospacing="0" w:after="0" w:afterAutospacing="0"/>
        <w:jc w:val="both"/>
        <w:rPr>
          <w:rFonts w:ascii="Gill Sans MT" w:hAnsi="Gill Sans MT" w:cs="Arial"/>
          <w:sz w:val="22"/>
          <w:szCs w:val="22"/>
        </w:rPr>
      </w:pPr>
      <w:r w:rsidRPr="000061EB">
        <w:rPr>
          <w:rFonts w:ascii="Gill Sans MT" w:hAnsi="Gill Sans MT" w:cs="Arial"/>
          <w:sz w:val="22"/>
          <w:szCs w:val="22"/>
        </w:rPr>
        <w:t> </w:t>
      </w:r>
    </w:p>
    <w:p w14:paraId="75FD3FAD" w14:textId="77777777" w:rsidR="00EB702A" w:rsidRPr="000061EB" w:rsidRDefault="00870D01">
      <w:pPr>
        <w:pStyle w:val="NormalWeb"/>
        <w:spacing w:before="0" w:beforeAutospacing="0" w:after="0" w:afterAutospacing="0"/>
        <w:jc w:val="both"/>
        <w:rPr>
          <w:rFonts w:ascii="Gill Sans MT" w:hAnsi="Gill Sans MT" w:cs="Arial"/>
          <w:sz w:val="22"/>
          <w:szCs w:val="22"/>
        </w:rPr>
      </w:pPr>
      <w:r w:rsidRPr="000061EB">
        <w:rPr>
          <w:rFonts w:ascii="Gill Sans MT" w:hAnsi="Gill Sans MT" w:cs="Arial"/>
          <w:sz w:val="22"/>
          <w:szCs w:val="22"/>
        </w:rPr>
        <w:t>The Cranwell Curriculum uses these initial explorations to help the girls develop a sound understanding of the subjects of their study, develop a rich vocabulary relating to the subject and to understand it in terms of scientific, linguistic and creative possibilities. As a consequence, more traditional ways of working within the curriculum are considerably enhanced and even more valuable.</w:t>
      </w:r>
    </w:p>
    <w:p w14:paraId="0F80CA82" w14:textId="77777777" w:rsidR="00EB702A" w:rsidRPr="000061EB" w:rsidRDefault="00870D01">
      <w:pPr>
        <w:pStyle w:val="NormalWeb"/>
        <w:spacing w:before="0" w:beforeAutospacing="0" w:after="0" w:afterAutospacing="0"/>
        <w:rPr>
          <w:rFonts w:ascii="Gill Sans MT" w:hAnsi="Gill Sans MT" w:cs="Arial"/>
          <w:sz w:val="22"/>
          <w:szCs w:val="22"/>
        </w:rPr>
      </w:pPr>
      <w:r w:rsidRPr="000061EB">
        <w:rPr>
          <w:rFonts w:ascii="Gill Sans MT" w:hAnsi="Gill Sans MT" w:cs="Arial"/>
          <w:sz w:val="22"/>
          <w:szCs w:val="22"/>
        </w:rPr>
        <w:t> </w:t>
      </w:r>
    </w:p>
    <w:p w14:paraId="5AE59E0A" w14:textId="77777777" w:rsidR="00EB702A" w:rsidRPr="000061EB" w:rsidRDefault="00870D01">
      <w:pPr>
        <w:pStyle w:val="NormalWeb"/>
        <w:spacing w:before="0" w:beforeAutospacing="0" w:after="0" w:afterAutospacing="0"/>
        <w:jc w:val="both"/>
        <w:rPr>
          <w:rFonts w:ascii="Gill Sans MT" w:hAnsi="Gill Sans MT" w:cs="Arial"/>
          <w:sz w:val="22"/>
          <w:szCs w:val="22"/>
        </w:rPr>
      </w:pPr>
      <w:r w:rsidRPr="000061EB">
        <w:rPr>
          <w:rFonts w:ascii="Gill Sans MT" w:hAnsi="Gill Sans MT" w:cs="Arial"/>
          <w:sz w:val="22"/>
          <w:szCs w:val="22"/>
        </w:rPr>
        <w:t xml:space="preserve">In addition, as the philosophy focusses clearly on reflection and collaboration it also produces an excellent environment for child and professional learning and develops a collective sense of communal learning and citizenship. It reaches out beyond the confines of the school and embraces the wider community, engaging parents most particularly. </w:t>
      </w:r>
    </w:p>
    <w:p w14:paraId="35ECC40B" w14:textId="77777777" w:rsidR="00EB702A" w:rsidRPr="000061EB" w:rsidRDefault="00EB702A">
      <w:pPr>
        <w:widowControl/>
        <w:jc w:val="both"/>
        <w:rPr>
          <w:rFonts w:ascii="Gill Sans MT" w:hAnsi="Gill Sans MT" w:cs="Arial"/>
          <w:i/>
          <w:sz w:val="22"/>
          <w:szCs w:val="22"/>
        </w:rPr>
      </w:pPr>
    </w:p>
    <w:p w14:paraId="5729AEBD" w14:textId="77777777" w:rsidR="00EB702A" w:rsidRPr="000061EB" w:rsidRDefault="00870D01">
      <w:pPr>
        <w:widowControl/>
        <w:jc w:val="both"/>
        <w:rPr>
          <w:rFonts w:ascii="Gill Sans MT" w:hAnsi="Gill Sans MT" w:cs="Arial"/>
          <w:b/>
          <w:sz w:val="22"/>
          <w:szCs w:val="22"/>
        </w:rPr>
      </w:pPr>
      <w:r w:rsidRPr="000061EB">
        <w:rPr>
          <w:rFonts w:ascii="Gill Sans MT" w:hAnsi="Gill Sans MT" w:cs="Arial"/>
          <w:b/>
          <w:sz w:val="22"/>
          <w:szCs w:val="22"/>
        </w:rPr>
        <w:t>Implementation:</w:t>
      </w:r>
    </w:p>
    <w:p w14:paraId="75217335" w14:textId="77777777" w:rsidR="00EB702A" w:rsidRPr="000061EB" w:rsidRDefault="00EB702A">
      <w:pPr>
        <w:widowControl/>
        <w:jc w:val="both"/>
        <w:rPr>
          <w:rFonts w:ascii="Gill Sans MT" w:hAnsi="Gill Sans MT" w:cs="Arial"/>
          <w:b/>
          <w:sz w:val="22"/>
          <w:szCs w:val="22"/>
        </w:rPr>
      </w:pPr>
    </w:p>
    <w:p w14:paraId="1F4D9D56" w14:textId="77777777" w:rsidR="00EB702A" w:rsidRPr="000061EB" w:rsidRDefault="00870D01">
      <w:pPr>
        <w:pStyle w:val="BodyText"/>
        <w:widowControl/>
        <w:numPr>
          <w:ilvl w:val="0"/>
          <w:numId w:val="2"/>
        </w:numPr>
        <w:tabs>
          <w:tab w:val="left" w:pos="360"/>
        </w:tabs>
        <w:rPr>
          <w:rFonts w:ascii="Gill Sans MT" w:hAnsi="Gill Sans MT" w:cs="Arial"/>
          <w:sz w:val="22"/>
          <w:szCs w:val="22"/>
        </w:rPr>
      </w:pPr>
      <w:r w:rsidRPr="000061EB">
        <w:rPr>
          <w:rFonts w:ascii="Gill Sans MT" w:hAnsi="Gill Sans MT" w:cs="Arial"/>
          <w:sz w:val="22"/>
          <w:szCs w:val="22"/>
        </w:rPr>
        <w:t xml:space="preserve">Central to the effectiveness of The Cranwell Curriculum is the thematic approach to learning. Class teachers deliver most of the curriculum to their class, ensuring consistency of approach and seamless learning across themes. This is consistent with our philosophy that developing the skills of effective learning should take precedent for learners in KS1 to KS2 above what might be termed ‘Subject Knowledge’. </w:t>
      </w:r>
    </w:p>
    <w:p w14:paraId="7F99A110" w14:textId="77777777" w:rsidR="00EB702A" w:rsidRPr="000061EB" w:rsidRDefault="00EB702A">
      <w:pPr>
        <w:pStyle w:val="BodyText"/>
        <w:widowControl/>
        <w:tabs>
          <w:tab w:val="left" w:pos="360"/>
        </w:tabs>
        <w:ind w:left="360"/>
        <w:rPr>
          <w:rFonts w:ascii="Gill Sans MT" w:hAnsi="Gill Sans MT" w:cs="Arial"/>
          <w:sz w:val="22"/>
          <w:szCs w:val="22"/>
        </w:rPr>
      </w:pPr>
    </w:p>
    <w:p w14:paraId="43C4E530" w14:textId="77777777" w:rsidR="00EB702A" w:rsidRPr="000061EB" w:rsidRDefault="00870D01">
      <w:pPr>
        <w:pStyle w:val="BodyText"/>
        <w:widowControl/>
        <w:numPr>
          <w:ilvl w:val="0"/>
          <w:numId w:val="2"/>
        </w:numPr>
        <w:tabs>
          <w:tab w:val="left" w:pos="360"/>
        </w:tabs>
        <w:rPr>
          <w:rFonts w:ascii="Gill Sans MT" w:hAnsi="Gill Sans MT" w:cs="Arial"/>
          <w:sz w:val="22"/>
          <w:szCs w:val="22"/>
        </w:rPr>
      </w:pPr>
      <w:r w:rsidRPr="000061EB">
        <w:rPr>
          <w:rFonts w:ascii="Gill Sans MT" w:hAnsi="Gill Sans MT" w:cs="Arial"/>
          <w:sz w:val="22"/>
          <w:szCs w:val="22"/>
        </w:rPr>
        <w:t xml:space="preserve">Our Learning to Learn Agenda (based on the Chris Quigley Essentials Curriculum), runs in parallel with national curriculum objectives and refers to the skills pupils need in order to become the best possible learners. </w:t>
      </w:r>
    </w:p>
    <w:p w14:paraId="73993E5F" w14:textId="77777777" w:rsidR="00EB702A" w:rsidRPr="000061EB" w:rsidRDefault="00EB702A">
      <w:pPr>
        <w:pStyle w:val="ListParagraph"/>
        <w:rPr>
          <w:rFonts w:ascii="Gill Sans MT" w:hAnsi="Gill Sans MT" w:cs="Arial"/>
          <w:sz w:val="22"/>
          <w:szCs w:val="22"/>
        </w:rPr>
      </w:pPr>
    </w:p>
    <w:p w14:paraId="58FABDD8" w14:textId="77777777" w:rsidR="00EB702A" w:rsidRPr="000061EB" w:rsidRDefault="00EB702A">
      <w:pPr>
        <w:pStyle w:val="BodyText"/>
        <w:widowControl/>
        <w:tabs>
          <w:tab w:val="left" w:pos="360"/>
        </w:tabs>
        <w:ind w:left="360"/>
        <w:rPr>
          <w:rFonts w:ascii="Gill Sans MT" w:hAnsi="Gill Sans MT" w:cs="Arial"/>
          <w:sz w:val="22"/>
          <w:szCs w:val="22"/>
        </w:rPr>
      </w:pPr>
    </w:p>
    <w:p w14:paraId="2651E0B6" w14:textId="77777777" w:rsidR="00EB702A" w:rsidRPr="000061EB" w:rsidRDefault="00870D01">
      <w:pPr>
        <w:pStyle w:val="BodyText"/>
        <w:widowControl/>
        <w:numPr>
          <w:ilvl w:val="0"/>
          <w:numId w:val="2"/>
        </w:numPr>
        <w:tabs>
          <w:tab w:val="left" w:pos="360"/>
        </w:tabs>
        <w:rPr>
          <w:rFonts w:ascii="Gill Sans MT" w:hAnsi="Gill Sans MT" w:cs="Arial"/>
          <w:sz w:val="22"/>
          <w:szCs w:val="22"/>
        </w:rPr>
      </w:pPr>
      <w:r w:rsidRPr="000061EB">
        <w:rPr>
          <w:rFonts w:ascii="Gill Sans MT" w:hAnsi="Gill Sans MT" w:cs="Arial"/>
          <w:sz w:val="22"/>
          <w:szCs w:val="22"/>
        </w:rPr>
        <w:t>Some aspects of curriculum provision are delivered by specialist teachers.  These lessons include PE, Performing Arts, Latin, Modern Languages and some Computing and may not always follow the learning theme. Maths is usually taught outside of the theme by the class teacher.</w:t>
      </w:r>
    </w:p>
    <w:p w14:paraId="2E266668" w14:textId="77777777" w:rsidR="00EB702A" w:rsidRPr="000061EB" w:rsidRDefault="00EB702A">
      <w:pPr>
        <w:pStyle w:val="BodyText"/>
        <w:widowControl/>
        <w:tabs>
          <w:tab w:val="left" w:pos="360"/>
        </w:tabs>
        <w:rPr>
          <w:rFonts w:ascii="Gill Sans MT" w:hAnsi="Gill Sans MT" w:cs="Arial"/>
          <w:sz w:val="22"/>
          <w:szCs w:val="22"/>
        </w:rPr>
      </w:pPr>
    </w:p>
    <w:p w14:paraId="123377C7" w14:textId="77777777" w:rsidR="00EB702A" w:rsidRPr="000061EB" w:rsidRDefault="00870D01">
      <w:pPr>
        <w:pStyle w:val="BodyText"/>
        <w:widowControl/>
        <w:numPr>
          <w:ilvl w:val="0"/>
          <w:numId w:val="2"/>
        </w:numPr>
        <w:tabs>
          <w:tab w:val="left" w:pos="360"/>
        </w:tabs>
        <w:rPr>
          <w:rFonts w:ascii="Gill Sans MT" w:hAnsi="Gill Sans MT" w:cs="Arial"/>
          <w:sz w:val="22"/>
          <w:szCs w:val="22"/>
        </w:rPr>
      </w:pPr>
      <w:r w:rsidRPr="000061EB">
        <w:rPr>
          <w:rFonts w:ascii="Gill Sans MT" w:hAnsi="Gill Sans MT" w:cs="Arial"/>
          <w:sz w:val="22"/>
          <w:szCs w:val="22"/>
        </w:rPr>
        <w:t xml:space="preserve">The subject coordinators are responsible for ensuring consistency across the curriculum, on determining the balance of the curriculum and the approaches to curriculum delivery. </w:t>
      </w:r>
    </w:p>
    <w:p w14:paraId="5B86D885" w14:textId="77777777" w:rsidR="00EB702A" w:rsidRPr="000061EB" w:rsidRDefault="00EB702A">
      <w:pPr>
        <w:pStyle w:val="BodyText"/>
        <w:widowControl/>
        <w:tabs>
          <w:tab w:val="left" w:pos="360"/>
        </w:tabs>
        <w:rPr>
          <w:rFonts w:ascii="Gill Sans MT" w:hAnsi="Gill Sans MT" w:cs="Arial"/>
          <w:sz w:val="22"/>
          <w:szCs w:val="22"/>
        </w:rPr>
      </w:pPr>
    </w:p>
    <w:p w14:paraId="5F2D4E3E" w14:textId="77777777" w:rsidR="00EB702A" w:rsidRPr="000061EB" w:rsidRDefault="00870D01">
      <w:pPr>
        <w:pStyle w:val="BodyText"/>
        <w:widowControl/>
        <w:numPr>
          <w:ilvl w:val="0"/>
          <w:numId w:val="2"/>
        </w:numPr>
        <w:tabs>
          <w:tab w:val="left" w:pos="360"/>
        </w:tabs>
        <w:rPr>
          <w:rFonts w:ascii="Gill Sans MT" w:hAnsi="Gill Sans MT" w:cs="Arial"/>
          <w:sz w:val="22"/>
          <w:szCs w:val="22"/>
        </w:rPr>
      </w:pPr>
      <w:r w:rsidRPr="000061EB">
        <w:rPr>
          <w:rFonts w:ascii="Gill Sans MT" w:hAnsi="Gill Sans MT" w:cs="Arial"/>
          <w:sz w:val="22"/>
          <w:szCs w:val="22"/>
        </w:rPr>
        <w:t>Class teachers have responsibility for planning and delivering a rich and broad curriculum through termly themes. Class teachers decide on the focus of termly themes; at least one theme will change annually in order to keep our approach fresh and engaging.  Teaching will reflect on decisions made by class teachers following careful thought and reflection on the needs and interests of the girls in each class.</w:t>
      </w:r>
    </w:p>
    <w:p w14:paraId="681F77E3" w14:textId="77777777" w:rsidR="00EB702A" w:rsidRPr="000061EB" w:rsidRDefault="00EB702A">
      <w:pPr>
        <w:pStyle w:val="BodyText"/>
        <w:widowControl/>
        <w:tabs>
          <w:tab w:val="left" w:pos="360"/>
        </w:tabs>
        <w:rPr>
          <w:rFonts w:ascii="Gill Sans MT" w:hAnsi="Gill Sans MT" w:cs="Arial"/>
          <w:sz w:val="22"/>
          <w:szCs w:val="22"/>
        </w:rPr>
      </w:pPr>
    </w:p>
    <w:p w14:paraId="1A4737BA" w14:textId="77777777" w:rsidR="00EB702A" w:rsidRPr="000061EB" w:rsidRDefault="00870D01">
      <w:pPr>
        <w:pStyle w:val="BodyText"/>
        <w:widowControl/>
        <w:numPr>
          <w:ilvl w:val="0"/>
          <w:numId w:val="2"/>
        </w:numPr>
        <w:tabs>
          <w:tab w:val="left" w:pos="360"/>
        </w:tabs>
        <w:rPr>
          <w:rFonts w:ascii="Gill Sans MT" w:hAnsi="Gill Sans MT" w:cs="Arial"/>
          <w:sz w:val="22"/>
          <w:szCs w:val="22"/>
        </w:rPr>
      </w:pPr>
      <w:r w:rsidRPr="000061EB">
        <w:rPr>
          <w:rFonts w:ascii="Gill Sans MT" w:hAnsi="Gill Sans MT" w:cs="Arial"/>
          <w:sz w:val="22"/>
          <w:szCs w:val="22"/>
        </w:rPr>
        <w:t>Class teachers produce a termly plan for each theme delivered, designed to meet the learning needs described in the Essentials documentation used throughout the school. This document maps the requirements of the National Curriculum onto the skills, dispositions and attitudes required for effective learning as published by Chris Quigley and Associates. This documentation is supplemented and adapted to meet the needs of the girls and the school.</w:t>
      </w:r>
    </w:p>
    <w:p w14:paraId="3931A281" w14:textId="77777777" w:rsidR="00EB702A" w:rsidRPr="000061EB" w:rsidRDefault="00EB702A">
      <w:pPr>
        <w:pStyle w:val="BodyText"/>
        <w:widowControl/>
        <w:tabs>
          <w:tab w:val="left" w:pos="360"/>
        </w:tabs>
        <w:rPr>
          <w:rFonts w:ascii="Gill Sans MT" w:hAnsi="Gill Sans MT" w:cs="Arial"/>
          <w:sz w:val="22"/>
          <w:szCs w:val="22"/>
        </w:rPr>
      </w:pPr>
    </w:p>
    <w:p w14:paraId="4033F0BA" w14:textId="77777777" w:rsidR="00EB702A" w:rsidRPr="000061EB" w:rsidRDefault="00870D01">
      <w:pPr>
        <w:pStyle w:val="BodyText"/>
        <w:widowControl/>
        <w:numPr>
          <w:ilvl w:val="0"/>
          <w:numId w:val="2"/>
        </w:numPr>
        <w:tabs>
          <w:tab w:val="left" w:pos="360"/>
        </w:tabs>
        <w:rPr>
          <w:rFonts w:ascii="Gill Sans MT" w:hAnsi="Gill Sans MT" w:cs="Arial"/>
          <w:sz w:val="22"/>
          <w:szCs w:val="22"/>
        </w:rPr>
      </w:pPr>
      <w:r w:rsidRPr="000061EB">
        <w:rPr>
          <w:rFonts w:ascii="Gill Sans MT" w:hAnsi="Gill Sans MT" w:cs="Arial"/>
          <w:sz w:val="22"/>
          <w:szCs w:val="22"/>
        </w:rPr>
        <w:t xml:space="preserve">All pupils have entitlement to the whole curriculum; this includes anyone with Additional Learning Needs. (see separate SEND policy statement and the Equal Opportunities policy). </w:t>
      </w:r>
    </w:p>
    <w:p w14:paraId="23A6DC73" w14:textId="77777777" w:rsidR="00EB702A" w:rsidRPr="000061EB" w:rsidRDefault="00EB702A">
      <w:pPr>
        <w:pStyle w:val="ListParagraph"/>
        <w:rPr>
          <w:rFonts w:ascii="Gill Sans MT" w:hAnsi="Gill Sans MT" w:cs="Arial"/>
          <w:sz w:val="22"/>
          <w:szCs w:val="22"/>
        </w:rPr>
      </w:pPr>
    </w:p>
    <w:p w14:paraId="5363E930" w14:textId="77777777" w:rsidR="00EB702A" w:rsidRPr="000061EB" w:rsidRDefault="00870D01">
      <w:pPr>
        <w:pStyle w:val="BodyText2"/>
        <w:widowControl/>
        <w:numPr>
          <w:ilvl w:val="0"/>
          <w:numId w:val="2"/>
        </w:numPr>
        <w:tabs>
          <w:tab w:val="left" w:pos="360"/>
        </w:tabs>
        <w:spacing w:line="240" w:lineRule="auto"/>
        <w:contextualSpacing/>
        <w:rPr>
          <w:rFonts w:ascii="Gill Sans MT" w:hAnsi="Gill Sans MT" w:cs="Arial"/>
          <w:sz w:val="22"/>
          <w:szCs w:val="22"/>
        </w:rPr>
      </w:pPr>
      <w:r w:rsidRPr="000061EB">
        <w:rPr>
          <w:rFonts w:ascii="Gill Sans MT" w:hAnsi="Gill Sans MT" w:cs="Arial"/>
          <w:sz w:val="22"/>
          <w:szCs w:val="22"/>
        </w:rPr>
        <w:t xml:space="preserve">Some of our specialist teaching is by teachers from the Senior School for girls in KS2. Exact provision changes according to need and availability and could take place at the Senior School.   </w:t>
      </w:r>
    </w:p>
    <w:p w14:paraId="3AF5C63B" w14:textId="77777777" w:rsidR="00EB702A" w:rsidRPr="000061EB" w:rsidRDefault="00EB702A">
      <w:pPr>
        <w:pStyle w:val="ListParagraph"/>
        <w:rPr>
          <w:rFonts w:ascii="Gill Sans MT" w:hAnsi="Gill Sans MT" w:cs="Arial"/>
          <w:sz w:val="22"/>
          <w:szCs w:val="22"/>
        </w:rPr>
      </w:pPr>
    </w:p>
    <w:p w14:paraId="01C29F94" w14:textId="77777777" w:rsidR="00EB702A" w:rsidRPr="000061EB" w:rsidRDefault="00870D01">
      <w:pPr>
        <w:pStyle w:val="BodyText2"/>
        <w:widowControl/>
        <w:numPr>
          <w:ilvl w:val="0"/>
          <w:numId w:val="2"/>
        </w:numPr>
        <w:tabs>
          <w:tab w:val="left" w:pos="360"/>
        </w:tabs>
        <w:spacing w:line="240" w:lineRule="auto"/>
        <w:contextualSpacing/>
        <w:rPr>
          <w:rFonts w:ascii="Gill Sans MT" w:hAnsi="Gill Sans MT" w:cs="Arial"/>
          <w:sz w:val="22"/>
          <w:szCs w:val="22"/>
        </w:rPr>
      </w:pPr>
      <w:r w:rsidRPr="000061EB">
        <w:rPr>
          <w:rFonts w:ascii="Gill Sans MT" w:hAnsi="Gill Sans MT" w:cs="Arial"/>
          <w:sz w:val="22"/>
          <w:szCs w:val="22"/>
        </w:rPr>
        <w:t xml:space="preserve">‘Be Inspired’ is taught to a mix of Year 3-6 pupils across a range of subjects.  These options are offered twice a year and allow the girls to further develop their academic skills in areas of their interest.  In recent years, these have included ‘Art Inspire’, ‘International Inspire’, ‘Write Inspire’, ‘Discover Inspire’ and ‘Explore Inspire’.   </w:t>
      </w:r>
    </w:p>
    <w:p w14:paraId="22709196" w14:textId="77777777" w:rsidR="00EB702A" w:rsidRPr="000061EB" w:rsidRDefault="00870D01">
      <w:pPr>
        <w:pStyle w:val="BodyText"/>
        <w:widowControl/>
        <w:numPr>
          <w:ilvl w:val="0"/>
          <w:numId w:val="2"/>
        </w:numPr>
        <w:tabs>
          <w:tab w:val="left" w:pos="360"/>
        </w:tabs>
        <w:rPr>
          <w:rFonts w:ascii="Gill Sans MT" w:hAnsi="Gill Sans MT" w:cs="Arial"/>
          <w:sz w:val="22"/>
          <w:szCs w:val="22"/>
        </w:rPr>
      </w:pPr>
      <w:r w:rsidRPr="000061EB">
        <w:rPr>
          <w:rFonts w:ascii="Gill Sans MT" w:hAnsi="Gill Sans MT" w:cs="Arial"/>
          <w:sz w:val="22"/>
          <w:szCs w:val="22"/>
        </w:rPr>
        <w:lastRenderedPageBreak/>
        <w:t xml:space="preserve">INSET is planned by the </w:t>
      </w:r>
      <w:r w:rsidR="004C24EC" w:rsidRPr="000061EB">
        <w:rPr>
          <w:rFonts w:ascii="Gill Sans MT" w:hAnsi="Gill Sans MT" w:cs="Arial"/>
          <w:sz w:val="22"/>
          <w:szCs w:val="22"/>
        </w:rPr>
        <w:t>Prep</w:t>
      </w:r>
      <w:r w:rsidRPr="000061EB">
        <w:rPr>
          <w:rFonts w:ascii="Gill Sans MT" w:hAnsi="Gill Sans MT" w:cs="Arial"/>
          <w:sz w:val="22"/>
          <w:szCs w:val="22"/>
        </w:rPr>
        <w:t xml:space="preserve"> School Leadership Team and regularly focuses on pedagogical matters, exploring and sharing effective approaches to teaching and learning across the staff body and brining in ideas from the GDST and wide world of education as and when appropriate. </w:t>
      </w:r>
    </w:p>
    <w:p w14:paraId="538DF066" w14:textId="77777777" w:rsidR="00EB702A" w:rsidRPr="000061EB" w:rsidRDefault="00EB702A">
      <w:pPr>
        <w:pStyle w:val="BodyText"/>
        <w:widowControl/>
        <w:tabs>
          <w:tab w:val="left" w:pos="360"/>
        </w:tabs>
        <w:ind w:left="360"/>
        <w:rPr>
          <w:rFonts w:ascii="Gill Sans MT" w:hAnsi="Gill Sans MT" w:cs="Arial"/>
          <w:sz w:val="22"/>
          <w:szCs w:val="22"/>
        </w:rPr>
      </w:pPr>
    </w:p>
    <w:p w14:paraId="074C5FC9" w14:textId="77777777" w:rsidR="00EB702A" w:rsidRPr="000061EB" w:rsidRDefault="00870D01">
      <w:pPr>
        <w:pStyle w:val="BodyText"/>
        <w:widowControl/>
        <w:numPr>
          <w:ilvl w:val="0"/>
          <w:numId w:val="2"/>
        </w:numPr>
        <w:tabs>
          <w:tab w:val="left" w:pos="360"/>
        </w:tabs>
        <w:rPr>
          <w:rFonts w:ascii="Gill Sans MT" w:hAnsi="Gill Sans MT" w:cs="Arial"/>
          <w:sz w:val="22"/>
          <w:szCs w:val="22"/>
        </w:rPr>
      </w:pPr>
      <w:r w:rsidRPr="000061EB">
        <w:rPr>
          <w:rFonts w:ascii="Gill Sans MT" w:hAnsi="Gill Sans MT" w:cs="Arial"/>
          <w:sz w:val="22"/>
          <w:szCs w:val="22"/>
        </w:rPr>
        <w:t>All staff are expected to take an active role in their own professional learning to ensure teaching practices remain up to date. This process includes high levels of reflection on teaching practice and pupil learning.  This process also has a clear influence on curriculum delivery as it informs teachers’ decisions about performance, next steps in learning, individual needs and aspects of study that the class find stimulating and engaging. Teacher-reflection is a vital aspect of curriculum delivery.</w:t>
      </w:r>
    </w:p>
    <w:p w14:paraId="1803569F" w14:textId="77777777" w:rsidR="00EB702A" w:rsidRPr="000061EB" w:rsidRDefault="00EB702A">
      <w:pPr>
        <w:pStyle w:val="BodyText"/>
        <w:widowControl/>
        <w:tabs>
          <w:tab w:val="left" w:pos="360"/>
        </w:tabs>
        <w:rPr>
          <w:rFonts w:ascii="Gill Sans MT" w:hAnsi="Gill Sans MT" w:cs="Arial"/>
          <w:sz w:val="22"/>
          <w:szCs w:val="22"/>
        </w:rPr>
      </w:pPr>
    </w:p>
    <w:p w14:paraId="531ED8DE" w14:textId="77777777" w:rsidR="00EB702A" w:rsidRPr="000061EB" w:rsidRDefault="00870D01">
      <w:pPr>
        <w:pStyle w:val="BodyText"/>
        <w:widowControl/>
        <w:tabs>
          <w:tab w:val="left" w:pos="360"/>
        </w:tabs>
        <w:rPr>
          <w:rFonts w:ascii="Gill Sans MT" w:hAnsi="Gill Sans MT" w:cs="Arial"/>
          <w:b/>
          <w:sz w:val="22"/>
          <w:szCs w:val="22"/>
        </w:rPr>
      </w:pPr>
      <w:r w:rsidRPr="000061EB">
        <w:rPr>
          <w:rFonts w:ascii="Gill Sans MT" w:hAnsi="Gill Sans MT" w:cs="Arial"/>
          <w:b/>
          <w:sz w:val="22"/>
          <w:szCs w:val="22"/>
        </w:rPr>
        <w:t xml:space="preserve">Timetable and Subject Allocation: </w:t>
      </w:r>
    </w:p>
    <w:p w14:paraId="6172A4F2" w14:textId="77777777" w:rsidR="00EB702A" w:rsidRPr="000061EB" w:rsidRDefault="00EB702A">
      <w:pPr>
        <w:rPr>
          <w:rFonts w:ascii="Gill Sans MT" w:hAnsi="Gill Sans MT" w:cs="Arial"/>
          <w:sz w:val="22"/>
          <w:szCs w:val="22"/>
        </w:rPr>
      </w:pPr>
    </w:p>
    <w:p w14:paraId="062ED220" w14:textId="77777777" w:rsidR="00EB702A" w:rsidRPr="000061EB" w:rsidRDefault="00870D01">
      <w:pPr>
        <w:pStyle w:val="BodyText"/>
        <w:widowControl/>
        <w:tabs>
          <w:tab w:val="left" w:pos="360"/>
        </w:tabs>
        <w:rPr>
          <w:rFonts w:ascii="Gill Sans MT" w:hAnsi="Gill Sans MT" w:cs="Arial"/>
          <w:sz w:val="22"/>
          <w:szCs w:val="22"/>
        </w:rPr>
      </w:pPr>
      <w:r w:rsidRPr="000061EB">
        <w:rPr>
          <w:rFonts w:ascii="Gill Sans MT" w:hAnsi="Gill Sans MT" w:cs="Arial"/>
          <w:sz w:val="22"/>
          <w:szCs w:val="22"/>
        </w:rPr>
        <w:t>The timetable runs weekly, based on 25, on</w:t>
      </w:r>
      <w:r w:rsidR="00EB47FC" w:rsidRPr="000061EB">
        <w:rPr>
          <w:rFonts w:ascii="Gill Sans MT" w:hAnsi="Gill Sans MT" w:cs="Arial"/>
          <w:sz w:val="22"/>
          <w:szCs w:val="22"/>
        </w:rPr>
        <w:t>e hour lessons a day for KS2</w:t>
      </w:r>
      <w:r w:rsidR="004C24EC" w:rsidRPr="000061EB">
        <w:rPr>
          <w:rFonts w:ascii="Gill Sans MT" w:hAnsi="Gill Sans MT" w:cs="Arial"/>
          <w:sz w:val="22"/>
          <w:szCs w:val="22"/>
        </w:rPr>
        <w:t xml:space="preserve"> girls</w:t>
      </w:r>
      <w:r w:rsidRPr="000061EB">
        <w:rPr>
          <w:rFonts w:ascii="Gill Sans MT" w:hAnsi="Gill Sans MT" w:cs="Arial"/>
          <w:sz w:val="22"/>
          <w:szCs w:val="22"/>
        </w:rPr>
        <w:t xml:space="preserve"> (Y3-6) and sessions totalling 23¼ hours in </w:t>
      </w:r>
      <w:r w:rsidR="004C24EC" w:rsidRPr="000061EB">
        <w:rPr>
          <w:rFonts w:ascii="Gill Sans MT" w:hAnsi="Gill Sans MT" w:cs="Arial"/>
          <w:sz w:val="22"/>
          <w:szCs w:val="22"/>
        </w:rPr>
        <w:t>the infant department</w:t>
      </w:r>
      <w:r w:rsidRPr="000061EB">
        <w:rPr>
          <w:rFonts w:ascii="Gill Sans MT" w:hAnsi="Gill Sans MT" w:cs="Arial"/>
          <w:sz w:val="22"/>
          <w:szCs w:val="22"/>
        </w:rPr>
        <w:t xml:space="preserve">. This teaching time does not include daily assembly times and registration.  There are termly variations and some activities are cyclical. </w:t>
      </w:r>
    </w:p>
    <w:p w14:paraId="4D3FD2EA" w14:textId="77777777" w:rsidR="00EB702A" w:rsidRPr="000061EB" w:rsidRDefault="00EB702A">
      <w:pPr>
        <w:pStyle w:val="BodyText"/>
        <w:widowControl/>
        <w:tabs>
          <w:tab w:val="left" w:pos="360"/>
        </w:tabs>
        <w:rPr>
          <w:rFonts w:ascii="Gill Sans MT" w:hAnsi="Gill Sans MT" w:cs="Arial"/>
          <w:sz w:val="22"/>
          <w:szCs w:val="22"/>
        </w:rPr>
      </w:pPr>
    </w:p>
    <w:p w14:paraId="248B4B2D" w14:textId="77777777" w:rsidR="00EB702A" w:rsidRPr="000061EB" w:rsidRDefault="00870D01">
      <w:pPr>
        <w:pStyle w:val="BodyText"/>
        <w:widowControl/>
        <w:tabs>
          <w:tab w:val="left" w:pos="360"/>
        </w:tabs>
        <w:rPr>
          <w:rFonts w:ascii="Gill Sans MT" w:hAnsi="Gill Sans MT" w:cs="Arial"/>
          <w:sz w:val="22"/>
          <w:szCs w:val="22"/>
        </w:rPr>
      </w:pPr>
      <w:r w:rsidRPr="000061EB">
        <w:rPr>
          <w:rFonts w:ascii="Gill Sans MT" w:hAnsi="Gill Sans MT" w:cs="Arial"/>
          <w:sz w:val="22"/>
          <w:szCs w:val="22"/>
        </w:rPr>
        <w:t xml:space="preserve">The Head and the two Deputy Heads determine the time allocated to the different subjects. There is a clear directive that Maths is taught discretely for at least 1 hour every day and this session is timetabled.  The class teacher in consultation with the Deputy Heads determines time allocated to thematic learning. This tends to be flexible and adapts to need and the focus of the theme. </w:t>
      </w:r>
    </w:p>
    <w:p w14:paraId="0ECFD3F8" w14:textId="77777777" w:rsidR="00EB702A" w:rsidRPr="000061EB" w:rsidRDefault="00EB702A">
      <w:pPr>
        <w:pStyle w:val="BodyText"/>
        <w:widowControl/>
        <w:tabs>
          <w:tab w:val="left" w:pos="360"/>
        </w:tabs>
        <w:rPr>
          <w:rFonts w:ascii="Gill Sans MT" w:hAnsi="Gill Sans MT" w:cs="Arial"/>
          <w:sz w:val="22"/>
          <w:szCs w:val="22"/>
        </w:rPr>
      </w:pPr>
    </w:p>
    <w:p w14:paraId="560383AB" w14:textId="77777777" w:rsidR="00EB702A" w:rsidRPr="000061EB" w:rsidRDefault="00870D01">
      <w:pPr>
        <w:pStyle w:val="BodyText"/>
        <w:widowControl/>
        <w:tabs>
          <w:tab w:val="left" w:pos="360"/>
        </w:tabs>
        <w:rPr>
          <w:rFonts w:ascii="Gill Sans MT" w:hAnsi="Gill Sans MT" w:cs="Arial"/>
          <w:sz w:val="22"/>
          <w:szCs w:val="22"/>
        </w:rPr>
      </w:pPr>
      <w:r w:rsidRPr="000061EB">
        <w:rPr>
          <w:rFonts w:ascii="Gill Sans MT" w:hAnsi="Gill Sans MT" w:cs="Arial"/>
          <w:sz w:val="22"/>
          <w:szCs w:val="22"/>
        </w:rPr>
        <w:t>However, there is a clear directive that every class should have at least 1 hour of learning focussed on English each day (though the context will usually relate to the theme being studied).  Any changes to the timetable must be discussed with the Deputy Heads in advance.</w:t>
      </w:r>
    </w:p>
    <w:p w14:paraId="5FDF2843" w14:textId="77777777" w:rsidR="00EB702A" w:rsidRPr="000061EB" w:rsidRDefault="00EB702A">
      <w:pPr>
        <w:pStyle w:val="BodyText"/>
        <w:widowControl/>
        <w:tabs>
          <w:tab w:val="left" w:pos="360"/>
        </w:tabs>
        <w:rPr>
          <w:rFonts w:ascii="Gill Sans MT" w:hAnsi="Gill Sans MT" w:cs="Arial"/>
          <w:sz w:val="22"/>
          <w:szCs w:val="22"/>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3"/>
        <w:gridCol w:w="839"/>
        <w:gridCol w:w="850"/>
        <w:gridCol w:w="709"/>
        <w:gridCol w:w="709"/>
        <w:gridCol w:w="720"/>
        <w:gridCol w:w="709"/>
      </w:tblGrid>
      <w:tr w:rsidR="00EB702A" w:rsidRPr="000061EB" w14:paraId="3E9DCAAA" w14:textId="77777777">
        <w:trPr>
          <w:trHeight w:val="300"/>
          <w:jc w:val="center"/>
        </w:trPr>
        <w:tc>
          <w:tcPr>
            <w:tcW w:w="4543" w:type="dxa"/>
            <w:noWrap/>
            <w:tcMar>
              <w:top w:w="0" w:type="dxa"/>
              <w:left w:w="108" w:type="dxa"/>
              <w:bottom w:w="0" w:type="dxa"/>
              <w:right w:w="108" w:type="dxa"/>
            </w:tcMar>
            <w:vAlign w:val="bottom"/>
            <w:hideMark/>
          </w:tcPr>
          <w:p w14:paraId="0F1876D2" w14:textId="77777777" w:rsidR="00EB702A" w:rsidRPr="000061EB" w:rsidRDefault="00870D01">
            <w:pPr>
              <w:ind w:left="284"/>
              <w:contextualSpacing/>
              <w:jc w:val="center"/>
              <w:rPr>
                <w:rFonts w:ascii="Gill Sans MT" w:eastAsiaTheme="minorHAnsi" w:hAnsi="Gill Sans MT" w:cs="Arial"/>
                <w:b/>
                <w:bCs/>
                <w:color w:val="000000"/>
                <w:sz w:val="22"/>
                <w:szCs w:val="22"/>
                <w:lang w:eastAsia="en-GB"/>
              </w:rPr>
            </w:pPr>
            <w:r w:rsidRPr="000061EB">
              <w:rPr>
                <w:rFonts w:ascii="Gill Sans MT" w:hAnsi="Gill Sans MT" w:cs="Arial"/>
                <w:b/>
                <w:bCs/>
                <w:color w:val="000000"/>
                <w:sz w:val="22"/>
                <w:szCs w:val="22"/>
                <w:lang w:eastAsia="en-GB"/>
              </w:rPr>
              <w:t>Year</w:t>
            </w:r>
          </w:p>
        </w:tc>
        <w:tc>
          <w:tcPr>
            <w:tcW w:w="839" w:type="dxa"/>
            <w:noWrap/>
            <w:tcMar>
              <w:top w:w="0" w:type="dxa"/>
              <w:left w:w="108" w:type="dxa"/>
              <w:bottom w:w="0" w:type="dxa"/>
              <w:right w:w="108" w:type="dxa"/>
            </w:tcMar>
            <w:hideMark/>
          </w:tcPr>
          <w:p w14:paraId="38932005" w14:textId="77777777" w:rsidR="00EB702A" w:rsidRPr="000061EB" w:rsidRDefault="00870D01">
            <w:pPr>
              <w:ind w:left="50"/>
              <w:contextualSpacing/>
              <w:jc w:val="center"/>
              <w:rPr>
                <w:rFonts w:ascii="Gill Sans MT" w:eastAsiaTheme="minorHAnsi" w:hAnsi="Gill Sans MT" w:cs="Arial"/>
                <w:b/>
                <w:bCs/>
                <w:color w:val="000000"/>
                <w:sz w:val="22"/>
                <w:szCs w:val="22"/>
                <w:lang w:eastAsia="en-GB"/>
              </w:rPr>
            </w:pPr>
            <w:r w:rsidRPr="000061EB">
              <w:rPr>
                <w:rFonts w:ascii="Gill Sans MT" w:hAnsi="Gill Sans MT" w:cs="Arial"/>
                <w:b/>
                <w:bCs/>
                <w:color w:val="000000"/>
                <w:sz w:val="22"/>
                <w:szCs w:val="22"/>
                <w:lang w:eastAsia="en-GB"/>
              </w:rPr>
              <w:t>Y1</w:t>
            </w:r>
          </w:p>
        </w:tc>
        <w:tc>
          <w:tcPr>
            <w:tcW w:w="850" w:type="dxa"/>
            <w:noWrap/>
            <w:tcMar>
              <w:top w:w="0" w:type="dxa"/>
              <w:left w:w="108" w:type="dxa"/>
              <w:bottom w:w="0" w:type="dxa"/>
              <w:right w:w="108" w:type="dxa"/>
            </w:tcMar>
            <w:hideMark/>
          </w:tcPr>
          <w:p w14:paraId="7F402F76" w14:textId="77777777" w:rsidR="00EB702A" w:rsidRPr="000061EB" w:rsidRDefault="00870D01">
            <w:pPr>
              <w:ind w:left="50"/>
              <w:contextualSpacing/>
              <w:jc w:val="center"/>
              <w:rPr>
                <w:rFonts w:ascii="Gill Sans MT" w:eastAsiaTheme="minorHAnsi" w:hAnsi="Gill Sans MT" w:cs="Arial"/>
                <w:b/>
                <w:bCs/>
                <w:color w:val="000000"/>
                <w:sz w:val="22"/>
                <w:szCs w:val="22"/>
                <w:lang w:eastAsia="en-GB"/>
              </w:rPr>
            </w:pPr>
            <w:r w:rsidRPr="000061EB">
              <w:rPr>
                <w:rFonts w:ascii="Gill Sans MT" w:hAnsi="Gill Sans MT" w:cs="Arial"/>
                <w:b/>
                <w:bCs/>
                <w:color w:val="000000"/>
                <w:sz w:val="22"/>
                <w:szCs w:val="22"/>
                <w:lang w:eastAsia="en-GB"/>
              </w:rPr>
              <w:t>Y2</w:t>
            </w:r>
          </w:p>
        </w:tc>
        <w:tc>
          <w:tcPr>
            <w:tcW w:w="709" w:type="dxa"/>
            <w:noWrap/>
            <w:tcMar>
              <w:top w:w="0" w:type="dxa"/>
              <w:left w:w="108" w:type="dxa"/>
              <w:bottom w:w="0" w:type="dxa"/>
              <w:right w:w="108" w:type="dxa"/>
            </w:tcMar>
            <w:hideMark/>
          </w:tcPr>
          <w:p w14:paraId="5C69C54A" w14:textId="77777777" w:rsidR="00EB702A" w:rsidRPr="000061EB" w:rsidRDefault="00870D01">
            <w:pPr>
              <w:ind w:left="50"/>
              <w:contextualSpacing/>
              <w:jc w:val="center"/>
              <w:rPr>
                <w:rFonts w:ascii="Gill Sans MT" w:eastAsiaTheme="minorHAnsi" w:hAnsi="Gill Sans MT" w:cs="Arial"/>
                <w:b/>
                <w:bCs/>
                <w:color w:val="000000"/>
                <w:sz w:val="22"/>
                <w:szCs w:val="22"/>
                <w:lang w:eastAsia="en-GB"/>
              </w:rPr>
            </w:pPr>
            <w:r w:rsidRPr="000061EB">
              <w:rPr>
                <w:rFonts w:ascii="Gill Sans MT" w:hAnsi="Gill Sans MT" w:cs="Arial"/>
                <w:b/>
                <w:bCs/>
                <w:color w:val="000000"/>
                <w:sz w:val="22"/>
                <w:szCs w:val="22"/>
                <w:lang w:eastAsia="en-GB"/>
              </w:rPr>
              <w:t>Y3</w:t>
            </w:r>
          </w:p>
        </w:tc>
        <w:tc>
          <w:tcPr>
            <w:tcW w:w="709" w:type="dxa"/>
            <w:noWrap/>
            <w:tcMar>
              <w:top w:w="0" w:type="dxa"/>
              <w:left w:w="108" w:type="dxa"/>
              <w:bottom w:w="0" w:type="dxa"/>
              <w:right w:w="108" w:type="dxa"/>
            </w:tcMar>
            <w:hideMark/>
          </w:tcPr>
          <w:p w14:paraId="60C298CC" w14:textId="77777777" w:rsidR="00EB702A" w:rsidRPr="000061EB" w:rsidRDefault="00870D01">
            <w:pPr>
              <w:ind w:left="50"/>
              <w:contextualSpacing/>
              <w:jc w:val="center"/>
              <w:rPr>
                <w:rFonts w:ascii="Gill Sans MT" w:eastAsiaTheme="minorHAnsi" w:hAnsi="Gill Sans MT" w:cs="Arial"/>
                <w:b/>
                <w:bCs/>
                <w:color w:val="000000"/>
                <w:sz w:val="22"/>
                <w:szCs w:val="22"/>
                <w:lang w:eastAsia="en-GB"/>
              </w:rPr>
            </w:pPr>
            <w:r w:rsidRPr="000061EB">
              <w:rPr>
                <w:rFonts w:ascii="Gill Sans MT" w:hAnsi="Gill Sans MT" w:cs="Arial"/>
                <w:b/>
                <w:bCs/>
                <w:color w:val="000000"/>
                <w:sz w:val="22"/>
                <w:szCs w:val="22"/>
                <w:lang w:eastAsia="en-GB"/>
              </w:rPr>
              <w:t>Y4</w:t>
            </w:r>
          </w:p>
        </w:tc>
        <w:tc>
          <w:tcPr>
            <w:tcW w:w="720" w:type="dxa"/>
            <w:noWrap/>
            <w:tcMar>
              <w:top w:w="0" w:type="dxa"/>
              <w:left w:w="108" w:type="dxa"/>
              <w:bottom w:w="0" w:type="dxa"/>
              <w:right w:w="108" w:type="dxa"/>
            </w:tcMar>
            <w:hideMark/>
          </w:tcPr>
          <w:p w14:paraId="246CC00C" w14:textId="77777777" w:rsidR="00EB702A" w:rsidRPr="000061EB" w:rsidRDefault="00870D01">
            <w:pPr>
              <w:ind w:left="50"/>
              <w:contextualSpacing/>
              <w:jc w:val="center"/>
              <w:rPr>
                <w:rFonts w:ascii="Gill Sans MT" w:eastAsiaTheme="minorHAnsi" w:hAnsi="Gill Sans MT" w:cs="Arial"/>
                <w:b/>
                <w:bCs/>
                <w:color w:val="000000"/>
                <w:sz w:val="22"/>
                <w:szCs w:val="22"/>
                <w:lang w:eastAsia="en-GB"/>
              </w:rPr>
            </w:pPr>
            <w:r w:rsidRPr="000061EB">
              <w:rPr>
                <w:rFonts w:ascii="Gill Sans MT" w:hAnsi="Gill Sans MT" w:cs="Arial"/>
                <w:b/>
                <w:bCs/>
                <w:color w:val="000000"/>
                <w:sz w:val="22"/>
                <w:szCs w:val="22"/>
                <w:lang w:eastAsia="en-GB"/>
              </w:rPr>
              <w:t>Y5</w:t>
            </w:r>
          </w:p>
        </w:tc>
        <w:tc>
          <w:tcPr>
            <w:tcW w:w="709" w:type="dxa"/>
            <w:noWrap/>
            <w:tcMar>
              <w:top w:w="0" w:type="dxa"/>
              <w:left w:w="108" w:type="dxa"/>
              <w:bottom w:w="0" w:type="dxa"/>
              <w:right w:w="108" w:type="dxa"/>
            </w:tcMar>
            <w:hideMark/>
          </w:tcPr>
          <w:p w14:paraId="7B106273" w14:textId="77777777" w:rsidR="00EB702A" w:rsidRPr="000061EB" w:rsidRDefault="00870D01">
            <w:pPr>
              <w:ind w:left="50"/>
              <w:contextualSpacing/>
              <w:jc w:val="center"/>
              <w:rPr>
                <w:rFonts w:ascii="Gill Sans MT" w:eastAsiaTheme="minorHAnsi" w:hAnsi="Gill Sans MT" w:cs="Arial"/>
                <w:b/>
                <w:bCs/>
                <w:color w:val="000000"/>
                <w:sz w:val="22"/>
                <w:szCs w:val="22"/>
                <w:lang w:eastAsia="en-GB"/>
              </w:rPr>
            </w:pPr>
            <w:r w:rsidRPr="000061EB">
              <w:rPr>
                <w:rFonts w:ascii="Gill Sans MT" w:hAnsi="Gill Sans MT" w:cs="Arial"/>
                <w:b/>
                <w:bCs/>
                <w:color w:val="000000"/>
                <w:sz w:val="22"/>
                <w:szCs w:val="22"/>
                <w:lang w:eastAsia="en-GB"/>
              </w:rPr>
              <w:t>Y6</w:t>
            </w:r>
          </w:p>
        </w:tc>
      </w:tr>
      <w:tr w:rsidR="00EB702A" w:rsidRPr="000061EB" w14:paraId="665193CE" w14:textId="77777777">
        <w:trPr>
          <w:trHeight w:val="300"/>
          <w:jc w:val="center"/>
        </w:trPr>
        <w:tc>
          <w:tcPr>
            <w:tcW w:w="4543" w:type="dxa"/>
            <w:noWrap/>
            <w:tcMar>
              <w:top w:w="0" w:type="dxa"/>
              <w:left w:w="108" w:type="dxa"/>
              <w:bottom w:w="0" w:type="dxa"/>
              <w:right w:w="108" w:type="dxa"/>
            </w:tcMar>
            <w:vAlign w:val="bottom"/>
          </w:tcPr>
          <w:p w14:paraId="4674C362" w14:textId="77777777" w:rsidR="00EB702A" w:rsidRPr="000061EB" w:rsidRDefault="00870D01">
            <w:pPr>
              <w:ind w:left="-108"/>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 xml:space="preserve">English </w:t>
            </w:r>
          </w:p>
        </w:tc>
        <w:tc>
          <w:tcPr>
            <w:tcW w:w="839" w:type="dxa"/>
            <w:noWrap/>
            <w:tcMar>
              <w:top w:w="0" w:type="dxa"/>
              <w:left w:w="108" w:type="dxa"/>
              <w:bottom w:w="0" w:type="dxa"/>
              <w:right w:w="108" w:type="dxa"/>
            </w:tcMar>
          </w:tcPr>
          <w:p w14:paraId="08786876"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5</w:t>
            </w:r>
          </w:p>
        </w:tc>
        <w:tc>
          <w:tcPr>
            <w:tcW w:w="850" w:type="dxa"/>
            <w:noWrap/>
            <w:tcMar>
              <w:top w:w="0" w:type="dxa"/>
              <w:left w:w="108" w:type="dxa"/>
              <w:bottom w:w="0" w:type="dxa"/>
              <w:right w:w="108" w:type="dxa"/>
            </w:tcMar>
          </w:tcPr>
          <w:p w14:paraId="0E4C32E3"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5</w:t>
            </w:r>
          </w:p>
        </w:tc>
        <w:tc>
          <w:tcPr>
            <w:tcW w:w="709" w:type="dxa"/>
            <w:noWrap/>
            <w:tcMar>
              <w:top w:w="0" w:type="dxa"/>
              <w:left w:w="108" w:type="dxa"/>
              <w:bottom w:w="0" w:type="dxa"/>
              <w:right w:w="108" w:type="dxa"/>
            </w:tcMar>
          </w:tcPr>
          <w:p w14:paraId="1C48F4E6"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5</w:t>
            </w:r>
          </w:p>
        </w:tc>
        <w:tc>
          <w:tcPr>
            <w:tcW w:w="709" w:type="dxa"/>
            <w:noWrap/>
            <w:tcMar>
              <w:top w:w="0" w:type="dxa"/>
              <w:left w:w="108" w:type="dxa"/>
              <w:bottom w:w="0" w:type="dxa"/>
              <w:right w:w="108" w:type="dxa"/>
            </w:tcMar>
          </w:tcPr>
          <w:p w14:paraId="35E7EB81"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5</w:t>
            </w:r>
          </w:p>
        </w:tc>
        <w:tc>
          <w:tcPr>
            <w:tcW w:w="720" w:type="dxa"/>
            <w:noWrap/>
            <w:tcMar>
              <w:top w:w="0" w:type="dxa"/>
              <w:left w:w="108" w:type="dxa"/>
              <w:bottom w:w="0" w:type="dxa"/>
              <w:right w:w="108" w:type="dxa"/>
            </w:tcMar>
          </w:tcPr>
          <w:p w14:paraId="1D428670"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5</w:t>
            </w:r>
          </w:p>
        </w:tc>
        <w:tc>
          <w:tcPr>
            <w:tcW w:w="709" w:type="dxa"/>
            <w:noWrap/>
            <w:tcMar>
              <w:top w:w="0" w:type="dxa"/>
              <w:left w:w="108" w:type="dxa"/>
              <w:bottom w:w="0" w:type="dxa"/>
              <w:right w:w="108" w:type="dxa"/>
            </w:tcMar>
          </w:tcPr>
          <w:p w14:paraId="1C2C309C"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5</w:t>
            </w:r>
          </w:p>
        </w:tc>
      </w:tr>
      <w:tr w:rsidR="00EB702A" w:rsidRPr="000061EB" w14:paraId="7DDC8C11" w14:textId="77777777">
        <w:trPr>
          <w:trHeight w:val="300"/>
          <w:jc w:val="center"/>
        </w:trPr>
        <w:tc>
          <w:tcPr>
            <w:tcW w:w="4543" w:type="dxa"/>
            <w:noWrap/>
            <w:tcMar>
              <w:top w:w="0" w:type="dxa"/>
              <w:left w:w="108" w:type="dxa"/>
              <w:bottom w:w="0" w:type="dxa"/>
              <w:right w:w="108" w:type="dxa"/>
            </w:tcMar>
            <w:vAlign w:val="bottom"/>
            <w:hideMark/>
          </w:tcPr>
          <w:p w14:paraId="62A03C72" w14:textId="77777777" w:rsidR="00EB702A" w:rsidRPr="000061EB" w:rsidRDefault="00870D01">
            <w:pPr>
              <w:ind w:left="-108"/>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Maths</w:t>
            </w:r>
          </w:p>
        </w:tc>
        <w:tc>
          <w:tcPr>
            <w:tcW w:w="839" w:type="dxa"/>
            <w:noWrap/>
            <w:tcMar>
              <w:top w:w="0" w:type="dxa"/>
              <w:left w:w="108" w:type="dxa"/>
              <w:bottom w:w="0" w:type="dxa"/>
              <w:right w:w="108" w:type="dxa"/>
            </w:tcMar>
            <w:hideMark/>
          </w:tcPr>
          <w:p w14:paraId="383BCFDC"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5</w:t>
            </w:r>
          </w:p>
        </w:tc>
        <w:tc>
          <w:tcPr>
            <w:tcW w:w="850" w:type="dxa"/>
            <w:noWrap/>
            <w:tcMar>
              <w:top w:w="0" w:type="dxa"/>
              <w:left w:w="108" w:type="dxa"/>
              <w:bottom w:w="0" w:type="dxa"/>
              <w:right w:w="108" w:type="dxa"/>
            </w:tcMar>
            <w:hideMark/>
          </w:tcPr>
          <w:p w14:paraId="69A1FAB8"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5</w:t>
            </w:r>
          </w:p>
        </w:tc>
        <w:tc>
          <w:tcPr>
            <w:tcW w:w="709" w:type="dxa"/>
            <w:noWrap/>
            <w:tcMar>
              <w:top w:w="0" w:type="dxa"/>
              <w:left w:w="108" w:type="dxa"/>
              <w:bottom w:w="0" w:type="dxa"/>
              <w:right w:w="108" w:type="dxa"/>
            </w:tcMar>
            <w:hideMark/>
          </w:tcPr>
          <w:p w14:paraId="061C4FD8"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5</w:t>
            </w:r>
          </w:p>
        </w:tc>
        <w:tc>
          <w:tcPr>
            <w:tcW w:w="709" w:type="dxa"/>
            <w:noWrap/>
            <w:tcMar>
              <w:top w:w="0" w:type="dxa"/>
              <w:left w:w="108" w:type="dxa"/>
              <w:bottom w:w="0" w:type="dxa"/>
              <w:right w:w="108" w:type="dxa"/>
            </w:tcMar>
            <w:hideMark/>
          </w:tcPr>
          <w:p w14:paraId="072FD3A2"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5</w:t>
            </w:r>
          </w:p>
        </w:tc>
        <w:tc>
          <w:tcPr>
            <w:tcW w:w="720" w:type="dxa"/>
            <w:noWrap/>
            <w:tcMar>
              <w:top w:w="0" w:type="dxa"/>
              <w:left w:w="108" w:type="dxa"/>
              <w:bottom w:w="0" w:type="dxa"/>
              <w:right w:w="108" w:type="dxa"/>
            </w:tcMar>
            <w:hideMark/>
          </w:tcPr>
          <w:p w14:paraId="50D6B03D"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5</w:t>
            </w:r>
          </w:p>
        </w:tc>
        <w:tc>
          <w:tcPr>
            <w:tcW w:w="709" w:type="dxa"/>
            <w:noWrap/>
            <w:tcMar>
              <w:top w:w="0" w:type="dxa"/>
              <w:left w:w="108" w:type="dxa"/>
              <w:bottom w:w="0" w:type="dxa"/>
              <w:right w:w="108" w:type="dxa"/>
            </w:tcMar>
            <w:hideMark/>
          </w:tcPr>
          <w:p w14:paraId="5733EB73"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5</w:t>
            </w:r>
          </w:p>
        </w:tc>
      </w:tr>
      <w:tr w:rsidR="00EB702A" w:rsidRPr="000061EB" w14:paraId="5217C38D" w14:textId="77777777">
        <w:trPr>
          <w:trHeight w:val="425"/>
          <w:jc w:val="center"/>
        </w:trPr>
        <w:tc>
          <w:tcPr>
            <w:tcW w:w="4543" w:type="dxa"/>
            <w:noWrap/>
            <w:tcMar>
              <w:top w:w="0" w:type="dxa"/>
              <w:left w:w="108" w:type="dxa"/>
              <w:bottom w:w="0" w:type="dxa"/>
              <w:right w:w="108" w:type="dxa"/>
            </w:tcMar>
            <w:vAlign w:val="bottom"/>
            <w:hideMark/>
          </w:tcPr>
          <w:p w14:paraId="10F65A98" w14:textId="77777777" w:rsidR="00EB702A" w:rsidRPr="000061EB" w:rsidRDefault="00870D01">
            <w:pPr>
              <w:ind w:left="-108"/>
              <w:contextualSpacing/>
              <w:jc w:val="center"/>
              <w:rPr>
                <w:rFonts w:ascii="Gill Sans MT" w:hAnsi="Gill Sans MT" w:cs="Arial"/>
                <w:b/>
                <w:color w:val="000000"/>
                <w:sz w:val="22"/>
                <w:szCs w:val="22"/>
                <w:lang w:eastAsia="en-GB"/>
              </w:rPr>
            </w:pPr>
            <w:r w:rsidRPr="000061EB">
              <w:rPr>
                <w:rFonts w:ascii="Gill Sans MT" w:hAnsi="Gill Sans MT" w:cs="Arial"/>
                <w:b/>
                <w:color w:val="000000"/>
                <w:sz w:val="22"/>
                <w:szCs w:val="22"/>
                <w:lang w:eastAsia="en-GB"/>
              </w:rPr>
              <w:t xml:space="preserve">Thematic Learning </w:t>
            </w:r>
          </w:p>
          <w:p w14:paraId="55FE3AC8" w14:textId="77777777" w:rsidR="00EB702A" w:rsidRPr="000061EB" w:rsidRDefault="00870D01">
            <w:pPr>
              <w:ind w:left="-108"/>
              <w:contextualSpacing/>
              <w:jc w:val="center"/>
              <w:rPr>
                <w:rFonts w:ascii="Gill Sans MT" w:hAnsi="Gill Sans MT" w:cs="Arial"/>
                <w:color w:val="000000"/>
                <w:sz w:val="22"/>
                <w:szCs w:val="22"/>
                <w:lang w:eastAsia="en-GB"/>
              </w:rPr>
            </w:pPr>
            <w:r w:rsidRPr="000061EB">
              <w:rPr>
                <w:rFonts w:ascii="Gill Sans MT" w:hAnsi="Gill Sans MT" w:cs="Arial"/>
                <w:color w:val="000000"/>
                <w:sz w:val="22"/>
                <w:szCs w:val="22"/>
                <w:lang w:eastAsia="en-GB"/>
              </w:rPr>
              <w:t xml:space="preserve">includes Science (at least 1 hour a week), RE, Geography, History, Art, DT and PSHE </w:t>
            </w:r>
          </w:p>
        </w:tc>
        <w:tc>
          <w:tcPr>
            <w:tcW w:w="839" w:type="dxa"/>
            <w:noWrap/>
            <w:tcMar>
              <w:top w:w="0" w:type="dxa"/>
              <w:left w:w="108" w:type="dxa"/>
              <w:bottom w:w="0" w:type="dxa"/>
              <w:right w:w="108" w:type="dxa"/>
            </w:tcMar>
            <w:hideMark/>
          </w:tcPr>
          <w:p w14:paraId="1521E207"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7</w:t>
            </w:r>
          </w:p>
        </w:tc>
        <w:tc>
          <w:tcPr>
            <w:tcW w:w="850" w:type="dxa"/>
            <w:noWrap/>
            <w:tcMar>
              <w:top w:w="0" w:type="dxa"/>
              <w:left w:w="108" w:type="dxa"/>
              <w:bottom w:w="0" w:type="dxa"/>
              <w:right w:w="108" w:type="dxa"/>
            </w:tcMar>
            <w:hideMark/>
          </w:tcPr>
          <w:p w14:paraId="4FE8D213"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7</w:t>
            </w:r>
          </w:p>
        </w:tc>
        <w:tc>
          <w:tcPr>
            <w:tcW w:w="709" w:type="dxa"/>
            <w:noWrap/>
            <w:tcMar>
              <w:top w:w="0" w:type="dxa"/>
              <w:left w:w="108" w:type="dxa"/>
              <w:bottom w:w="0" w:type="dxa"/>
              <w:right w:w="108" w:type="dxa"/>
            </w:tcMar>
            <w:hideMark/>
          </w:tcPr>
          <w:p w14:paraId="31D01133"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7</w:t>
            </w:r>
          </w:p>
        </w:tc>
        <w:tc>
          <w:tcPr>
            <w:tcW w:w="709" w:type="dxa"/>
            <w:noWrap/>
            <w:tcMar>
              <w:top w:w="0" w:type="dxa"/>
              <w:left w:w="108" w:type="dxa"/>
              <w:bottom w:w="0" w:type="dxa"/>
              <w:right w:w="108" w:type="dxa"/>
            </w:tcMar>
            <w:hideMark/>
          </w:tcPr>
          <w:p w14:paraId="16309364"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7</w:t>
            </w:r>
          </w:p>
        </w:tc>
        <w:tc>
          <w:tcPr>
            <w:tcW w:w="720" w:type="dxa"/>
            <w:noWrap/>
            <w:tcMar>
              <w:top w:w="0" w:type="dxa"/>
              <w:left w:w="108" w:type="dxa"/>
              <w:bottom w:w="0" w:type="dxa"/>
              <w:right w:w="108" w:type="dxa"/>
            </w:tcMar>
            <w:hideMark/>
          </w:tcPr>
          <w:p w14:paraId="60933034"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5.5</w:t>
            </w:r>
          </w:p>
        </w:tc>
        <w:tc>
          <w:tcPr>
            <w:tcW w:w="709" w:type="dxa"/>
            <w:noWrap/>
            <w:tcMar>
              <w:top w:w="0" w:type="dxa"/>
              <w:left w:w="108" w:type="dxa"/>
              <w:bottom w:w="0" w:type="dxa"/>
              <w:right w:w="108" w:type="dxa"/>
            </w:tcMar>
            <w:hideMark/>
          </w:tcPr>
          <w:p w14:paraId="09AD22AC"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5</w:t>
            </w:r>
          </w:p>
        </w:tc>
      </w:tr>
      <w:tr w:rsidR="00EB702A" w:rsidRPr="000061EB" w14:paraId="67A5B9CB" w14:textId="77777777">
        <w:trPr>
          <w:trHeight w:val="300"/>
          <w:jc w:val="center"/>
        </w:trPr>
        <w:tc>
          <w:tcPr>
            <w:tcW w:w="4543" w:type="dxa"/>
            <w:noWrap/>
            <w:tcMar>
              <w:top w:w="0" w:type="dxa"/>
              <w:left w:w="108" w:type="dxa"/>
              <w:bottom w:w="0" w:type="dxa"/>
              <w:right w:w="108" w:type="dxa"/>
            </w:tcMar>
            <w:vAlign w:val="bottom"/>
          </w:tcPr>
          <w:p w14:paraId="74B5D25C" w14:textId="77777777" w:rsidR="00EB702A" w:rsidRPr="000061EB" w:rsidRDefault="00870D01">
            <w:pPr>
              <w:ind w:left="-108"/>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Computing</w:t>
            </w:r>
          </w:p>
        </w:tc>
        <w:tc>
          <w:tcPr>
            <w:tcW w:w="839" w:type="dxa"/>
            <w:noWrap/>
            <w:tcMar>
              <w:top w:w="0" w:type="dxa"/>
              <w:left w:w="108" w:type="dxa"/>
              <w:bottom w:w="0" w:type="dxa"/>
              <w:right w:w="108" w:type="dxa"/>
            </w:tcMar>
          </w:tcPr>
          <w:p w14:paraId="7E5400F7"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1</w:t>
            </w:r>
          </w:p>
        </w:tc>
        <w:tc>
          <w:tcPr>
            <w:tcW w:w="850" w:type="dxa"/>
            <w:noWrap/>
            <w:tcMar>
              <w:top w:w="0" w:type="dxa"/>
              <w:left w:w="108" w:type="dxa"/>
              <w:bottom w:w="0" w:type="dxa"/>
              <w:right w:w="108" w:type="dxa"/>
            </w:tcMar>
          </w:tcPr>
          <w:p w14:paraId="77B5F325"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1</w:t>
            </w:r>
          </w:p>
        </w:tc>
        <w:tc>
          <w:tcPr>
            <w:tcW w:w="709" w:type="dxa"/>
            <w:noWrap/>
            <w:tcMar>
              <w:top w:w="0" w:type="dxa"/>
              <w:left w:w="108" w:type="dxa"/>
              <w:bottom w:w="0" w:type="dxa"/>
              <w:right w:w="108" w:type="dxa"/>
            </w:tcMar>
          </w:tcPr>
          <w:p w14:paraId="1A3DD68B"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1</w:t>
            </w:r>
          </w:p>
        </w:tc>
        <w:tc>
          <w:tcPr>
            <w:tcW w:w="709" w:type="dxa"/>
            <w:noWrap/>
            <w:tcMar>
              <w:top w:w="0" w:type="dxa"/>
              <w:left w:w="108" w:type="dxa"/>
              <w:bottom w:w="0" w:type="dxa"/>
              <w:right w:w="108" w:type="dxa"/>
            </w:tcMar>
          </w:tcPr>
          <w:p w14:paraId="515C4EF6"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1</w:t>
            </w:r>
          </w:p>
        </w:tc>
        <w:tc>
          <w:tcPr>
            <w:tcW w:w="720" w:type="dxa"/>
            <w:noWrap/>
            <w:tcMar>
              <w:top w:w="0" w:type="dxa"/>
              <w:left w:w="108" w:type="dxa"/>
              <w:bottom w:w="0" w:type="dxa"/>
              <w:right w:w="108" w:type="dxa"/>
            </w:tcMar>
          </w:tcPr>
          <w:p w14:paraId="5D4E239C"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1</w:t>
            </w:r>
          </w:p>
        </w:tc>
        <w:tc>
          <w:tcPr>
            <w:tcW w:w="709" w:type="dxa"/>
            <w:noWrap/>
            <w:tcMar>
              <w:top w:w="0" w:type="dxa"/>
              <w:left w:w="108" w:type="dxa"/>
              <w:bottom w:w="0" w:type="dxa"/>
              <w:right w:w="108" w:type="dxa"/>
            </w:tcMar>
          </w:tcPr>
          <w:p w14:paraId="19B8F543"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1</w:t>
            </w:r>
          </w:p>
        </w:tc>
      </w:tr>
      <w:tr w:rsidR="00EB702A" w:rsidRPr="000061EB" w14:paraId="3BA0F97D" w14:textId="77777777">
        <w:trPr>
          <w:trHeight w:val="300"/>
          <w:jc w:val="center"/>
        </w:trPr>
        <w:tc>
          <w:tcPr>
            <w:tcW w:w="4543" w:type="dxa"/>
            <w:noWrap/>
            <w:tcMar>
              <w:top w:w="0" w:type="dxa"/>
              <w:left w:w="108" w:type="dxa"/>
              <w:bottom w:w="0" w:type="dxa"/>
              <w:right w:w="108" w:type="dxa"/>
            </w:tcMar>
            <w:vAlign w:val="bottom"/>
            <w:hideMark/>
          </w:tcPr>
          <w:p w14:paraId="5BD59243" w14:textId="77777777" w:rsidR="00EB702A" w:rsidRPr="000061EB" w:rsidRDefault="00870D01">
            <w:pPr>
              <w:ind w:left="-108"/>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PE</w:t>
            </w:r>
          </w:p>
        </w:tc>
        <w:tc>
          <w:tcPr>
            <w:tcW w:w="839" w:type="dxa"/>
            <w:noWrap/>
            <w:tcMar>
              <w:top w:w="0" w:type="dxa"/>
              <w:left w:w="108" w:type="dxa"/>
              <w:bottom w:w="0" w:type="dxa"/>
              <w:right w:w="108" w:type="dxa"/>
            </w:tcMar>
          </w:tcPr>
          <w:p w14:paraId="2B58F54C"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2</w:t>
            </w:r>
          </w:p>
        </w:tc>
        <w:tc>
          <w:tcPr>
            <w:tcW w:w="850" w:type="dxa"/>
            <w:noWrap/>
            <w:tcMar>
              <w:top w:w="0" w:type="dxa"/>
              <w:left w:w="108" w:type="dxa"/>
              <w:bottom w:w="0" w:type="dxa"/>
              <w:right w:w="108" w:type="dxa"/>
            </w:tcMar>
          </w:tcPr>
          <w:p w14:paraId="0EC7401A"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2</w:t>
            </w:r>
          </w:p>
        </w:tc>
        <w:tc>
          <w:tcPr>
            <w:tcW w:w="709" w:type="dxa"/>
            <w:noWrap/>
            <w:tcMar>
              <w:top w:w="0" w:type="dxa"/>
              <w:left w:w="108" w:type="dxa"/>
              <w:bottom w:w="0" w:type="dxa"/>
              <w:right w:w="108" w:type="dxa"/>
            </w:tcMar>
          </w:tcPr>
          <w:p w14:paraId="0CF2D09C"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3</w:t>
            </w:r>
          </w:p>
        </w:tc>
        <w:tc>
          <w:tcPr>
            <w:tcW w:w="709" w:type="dxa"/>
            <w:noWrap/>
            <w:tcMar>
              <w:top w:w="0" w:type="dxa"/>
              <w:left w:w="108" w:type="dxa"/>
              <w:bottom w:w="0" w:type="dxa"/>
              <w:right w:w="108" w:type="dxa"/>
            </w:tcMar>
          </w:tcPr>
          <w:p w14:paraId="5A3995C3"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3</w:t>
            </w:r>
          </w:p>
        </w:tc>
        <w:tc>
          <w:tcPr>
            <w:tcW w:w="720" w:type="dxa"/>
            <w:noWrap/>
            <w:tcMar>
              <w:top w:w="0" w:type="dxa"/>
              <w:left w:w="108" w:type="dxa"/>
              <w:bottom w:w="0" w:type="dxa"/>
              <w:right w:w="108" w:type="dxa"/>
            </w:tcMar>
          </w:tcPr>
          <w:p w14:paraId="6E33304E"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4</w:t>
            </w:r>
          </w:p>
        </w:tc>
        <w:tc>
          <w:tcPr>
            <w:tcW w:w="709" w:type="dxa"/>
            <w:noWrap/>
            <w:tcMar>
              <w:top w:w="0" w:type="dxa"/>
              <w:left w:w="108" w:type="dxa"/>
              <w:bottom w:w="0" w:type="dxa"/>
              <w:right w:w="108" w:type="dxa"/>
            </w:tcMar>
          </w:tcPr>
          <w:p w14:paraId="3CD111B4"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4</w:t>
            </w:r>
          </w:p>
        </w:tc>
      </w:tr>
      <w:tr w:rsidR="00EB702A" w:rsidRPr="000061EB" w14:paraId="6F5AC798" w14:textId="77777777">
        <w:trPr>
          <w:trHeight w:val="300"/>
          <w:jc w:val="center"/>
        </w:trPr>
        <w:tc>
          <w:tcPr>
            <w:tcW w:w="4543" w:type="dxa"/>
            <w:noWrap/>
            <w:tcMar>
              <w:top w:w="0" w:type="dxa"/>
              <w:left w:w="108" w:type="dxa"/>
              <w:bottom w:w="0" w:type="dxa"/>
              <w:right w:w="108" w:type="dxa"/>
            </w:tcMar>
            <w:vAlign w:val="bottom"/>
          </w:tcPr>
          <w:p w14:paraId="298FF4BF" w14:textId="77777777" w:rsidR="00EB702A" w:rsidRPr="000061EB" w:rsidRDefault="00870D01">
            <w:pPr>
              <w:ind w:left="-108"/>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 xml:space="preserve">MFL and Latin </w:t>
            </w:r>
          </w:p>
        </w:tc>
        <w:tc>
          <w:tcPr>
            <w:tcW w:w="839" w:type="dxa"/>
            <w:noWrap/>
            <w:tcMar>
              <w:top w:w="0" w:type="dxa"/>
              <w:left w:w="108" w:type="dxa"/>
              <w:bottom w:w="0" w:type="dxa"/>
              <w:right w:w="108" w:type="dxa"/>
            </w:tcMar>
          </w:tcPr>
          <w:p w14:paraId="12AD100B" w14:textId="77777777" w:rsidR="00EB702A" w:rsidRPr="000061EB" w:rsidRDefault="00870D01" w:rsidP="00974BC5">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0.</w:t>
            </w:r>
            <w:r w:rsidR="00974BC5" w:rsidRPr="000061EB">
              <w:rPr>
                <w:rFonts w:ascii="Gill Sans MT" w:eastAsiaTheme="minorHAnsi" w:hAnsi="Gill Sans MT" w:cs="Arial"/>
                <w:color w:val="000000"/>
                <w:sz w:val="22"/>
                <w:szCs w:val="22"/>
                <w:lang w:eastAsia="en-GB"/>
              </w:rPr>
              <w:t>5</w:t>
            </w:r>
          </w:p>
        </w:tc>
        <w:tc>
          <w:tcPr>
            <w:tcW w:w="850" w:type="dxa"/>
            <w:noWrap/>
            <w:tcMar>
              <w:top w:w="0" w:type="dxa"/>
              <w:left w:w="108" w:type="dxa"/>
              <w:bottom w:w="0" w:type="dxa"/>
              <w:right w:w="108" w:type="dxa"/>
            </w:tcMar>
          </w:tcPr>
          <w:p w14:paraId="144D2282" w14:textId="77777777" w:rsidR="00EB702A" w:rsidRPr="000061EB" w:rsidRDefault="00870D01" w:rsidP="00974BC5">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0.</w:t>
            </w:r>
            <w:r w:rsidR="00974BC5" w:rsidRPr="000061EB">
              <w:rPr>
                <w:rFonts w:ascii="Gill Sans MT" w:eastAsiaTheme="minorHAnsi" w:hAnsi="Gill Sans MT" w:cs="Arial"/>
                <w:color w:val="000000"/>
                <w:sz w:val="22"/>
                <w:szCs w:val="22"/>
                <w:lang w:eastAsia="en-GB"/>
              </w:rPr>
              <w:t>5</w:t>
            </w:r>
          </w:p>
        </w:tc>
        <w:tc>
          <w:tcPr>
            <w:tcW w:w="709" w:type="dxa"/>
            <w:noWrap/>
            <w:tcMar>
              <w:top w:w="0" w:type="dxa"/>
              <w:left w:w="108" w:type="dxa"/>
              <w:bottom w:w="0" w:type="dxa"/>
              <w:right w:w="108" w:type="dxa"/>
            </w:tcMar>
          </w:tcPr>
          <w:p w14:paraId="6E3184A7"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1</w:t>
            </w:r>
          </w:p>
        </w:tc>
        <w:tc>
          <w:tcPr>
            <w:tcW w:w="709" w:type="dxa"/>
            <w:noWrap/>
            <w:tcMar>
              <w:top w:w="0" w:type="dxa"/>
              <w:left w:w="108" w:type="dxa"/>
              <w:bottom w:w="0" w:type="dxa"/>
              <w:right w:w="108" w:type="dxa"/>
            </w:tcMar>
          </w:tcPr>
          <w:p w14:paraId="7CBAFA0B"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1</w:t>
            </w:r>
          </w:p>
        </w:tc>
        <w:tc>
          <w:tcPr>
            <w:tcW w:w="720" w:type="dxa"/>
            <w:noWrap/>
            <w:tcMar>
              <w:top w:w="0" w:type="dxa"/>
              <w:left w:w="108" w:type="dxa"/>
              <w:bottom w:w="0" w:type="dxa"/>
              <w:right w:w="108" w:type="dxa"/>
            </w:tcMar>
          </w:tcPr>
          <w:p w14:paraId="2C17701C"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1.5</w:t>
            </w:r>
          </w:p>
        </w:tc>
        <w:tc>
          <w:tcPr>
            <w:tcW w:w="709" w:type="dxa"/>
            <w:noWrap/>
            <w:tcMar>
              <w:top w:w="0" w:type="dxa"/>
              <w:left w:w="108" w:type="dxa"/>
              <w:bottom w:w="0" w:type="dxa"/>
              <w:right w:w="108" w:type="dxa"/>
            </w:tcMar>
          </w:tcPr>
          <w:p w14:paraId="1A349C3E"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eastAsiaTheme="minorHAnsi" w:hAnsi="Gill Sans MT" w:cs="Arial"/>
                <w:color w:val="000000"/>
                <w:sz w:val="22"/>
                <w:szCs w:val="22"/>
                <w:lang w:eastAsia="en-GB"/>
              </w:rPr>
              <w:t>2</w:t>
            </w:r>
          </w:p>
        </w:tc>
      </w:tr>
      <w:tr w:rsidR="00EB702A" w:rsidRPr="000061EB" w14:paraId="7E77D4A6" w14:textId="77777777">
        <w:trPr>
          <w:trHeight w:val="300"/>
          <w:jc w:val="center"/>
        </w:trPr>
        <w:tc>
          <w:tcPr>
            <w:tcW w:w="4543" w:type="dxa"/>
            <w:noWrap/>
            <w:tcMar>
              <w:top w:w="0" w:type="dxa"/>
              <w:left w:w="108" w:type="dxa"/>
              <w:bottom w:w="0" w:type="dxa"/>
              <w:right w:w="108" w:type="dxa"/>
            </w:tcMar>
            <w:vAlign w:val="bottom"/>
          </w:tcPr>
          <w:p w14:paraId="08A80098" w14:textId="77777777" w:rsidR="00EB702A" w:rsidRPr="000061EB" w:rsidRDefault="00870D01">
            <w:pPr>
              <w:ind w:left="-108"/>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Music</w:t>
            </w:r>
          </w:p>
        </w:tc>
        <w:tc>
          <w:tcPr>
            <w:tcW w:w="839" w:type="dxa"/>
            <w:noWrap/>
            <w:tcMar>
              <w:top w:w="0" w:type="dxa"/>
              <w:left w:w="108" w:type="dxa"/>
              <w:bottom w:w="0" w:type="dxa"/>
              <w:right w:w="108" w:type="dxa"/>
            </w:tcMar>
          </w:tcPr>
          <w:p w14:paraId="302B69C3"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c>
          <w:tcPr>
            <w:tcW w:w="850" w:type="dxa"/>
            <w:noWrap/>
            <w:tcMar>
              <w:top w:w="0" w:type="dxa"/>
              <w:left w:w="108" w:type="dxa"/>
              <w:bottom w:w="0" w:type="dxa"/>
              <w:right w:w="108" w:type="dxa"/>
            </w:tcMar>
          </w:tcPr>
          <w:p w14:paraId="0C852D91"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c>
          <w:tcPr>
            <w:tcW w:w="709" w:type="dxa"/>
            <w:noWrap/>
            <w:tcMar>
              <w:top w:w="0" w:type="dxa"/>
              <w:left w:w="108" w:type="dxa"/>
              <w:bottom w:w="0" w:type="dxa"/>
              <w:right w:w="108" w:type="dxa"/>
            </w:tcMar>
          </w:tcPr>
          <w:p w14:paraId="6C31D157"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1</w:t>
            </w:r>
          </w:p>
        </w:tc>
        <w:tc>
          <w:tcPr>
            <w:tcW w:w="709" w:type="dxa"/>
            <w:noWrap/>
            <w:tcMar>
              <w:top w:w="0" w:type="dxa"/>
              <w:left w:w="108" w:type="dxa"/>
              <w:bottom w:w="0" w:type="dxa"/>
              <w:right w:w="108" w:type="dxa"/>
            </w:tcMar>
          </w:tcPr>
          <w:p w14:paraId="4E38E340"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1</w:t>
            </w:r>
          </w:p>
        </w:tc>
        <w:tc>
          <w:tcPr>
            <w:tcW w:w="720" w:type="dxa"/>
            <w:noWrap/>
            <w:tcMar>
              <w:top w:w="0" w:type="dxa"/>
              <w:left w:w="108" w:type="dxa"/>
              <w:bottom w:w="0" w:type="dxa"/>
              <w:right w:w="108" w:type="dxa"/>
            </w:tcMar>
          </w:tcPr>
          <w:p w14:paraId="7772F6C6"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1</w:t>
            </w:r>
          </w:p>
        </w:tc>
        <w:tc>
          <w:tcPr>
            <w:tcW w:w="709" w:type="dxa"/>
            <w:noWrap/>
            <w:tcMar>
              <w:top w:w="0" w:type="dxa"/>
              <w:left w:w="108" w:type="dxa"/>
              <w:bottom w:w="0" w:type="dxa"/>
              <w:right w:w="108" w:type="dxa"/>
            </w:tcMar>
          </w:tcPr>
          <w:p w14:paraId="1071F2AF"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1</w:t>
            </w:r>
          </w:p>
        </w:tc>
      </w:tr>
      <w:tr w:rsidR="00EB702A" w:rsidRPr="000061EB" w14:paraId="55EDC261" w14:textId="77777777">
        <w:trPr>
          <w:trHeight w:val="300"/>
          <w:jc w:val="center"/>
        </w:trPr>
        <w:tc>
          <w:tcPr>
            <w:tcW w:w="4543" w:type="dxa"/>
            <w:noWrap/>
            <w:tcMar>
              <w:top w:w="0" w:type="dxa"/>
              <w:left w:w="108" w:type="dxa"/>
              <w:bottom w:w="0" w:type="dxa"/>
              <w:right w:w="108" w:type="dxa"/>
            </w:tcMar>
            <w:vAlign w:val="bottom"/>
            <w:hideMark/>
          </w:tcPr>
          <w:p w14:paraId="5625E388" w14:textId="77777777" w:rsidR="00EB702A" w:rsidRPr="000061EB" w:rsidRDefault="00870D01">
            <w:pPr>
              <w:ind w:left="-108"/>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Drama</w:t>
            </w:r>
          </w:p>
        </w:tc>
        <w:tc>
          <w:tcPr>
            <w:tcW w:w="839" w:type="dxa"/>
            <w:noWrap/>
            <w:tcMar>
              <w:top w:w="0" w:type="dxa"/>
              <w:left w:w="108" w:type="dxa"/>
              <w:bottom w:w="0" w:type="dxa"/>
              <w:right w:w="108" w:type="dxa"/>
            </w:tcMar>
            <w:hideMark/>
          </w:tcPr>
          <w:p w14:paraId="0696C2BC"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c>
          <w:tcPr>
            <w:tcW w:w="850" w:type="dxa"/>
            <w:noWrap/>
            <w:tcMar>
              <w:top w:w="0" w:type="dxa"/>
              <w:left w:w="108" w:type="dxa"/>
              <w:bottom w:w="0" w:type="dxa"/>
              <w:right w:w="108" w:type="dxa"/>
            </w:tcMar>
            <w:hideMark/>
          </w:tcPr>
          <w:p w14:paraId="60B9501B"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c>
          <w:tcPr>
            <w:tcW w:w="709" w:type="dxa"/>
            <w:noWrap/>
            <w:tcMar>
              <w:top w:w="0" w:type="dxa"/>
              <w:left w:w="108" w:type="dxa"/>
              <w:bottom w:w="0" w:type="dxa"/>
              <w:right w:w="108" w:type="dxa"/>
            </w:tcMar>
            <w:hideMark/>
          </w:tcPr>
          <w:p w14:paraId="40430349"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 xml:space="preserve">0.5 </w:t>
            </w:r>
          </w:p>
        </w:tc>
        <w:tc>
          <w:tcPr>
            <w:tcW w:w="709" w:type="dxa"/>
            <w:noWrap/>
            <w:tcMar>
              <w:top w:w="0" w:type="dxa"/>
              <w:left w:w="108" w:type="dxa"/>
              <w:bottom w:w="0" w:type="dxa"/>
              <w:right w:w="108" w:type="dxa"/>
            </w:tcMar>
            <w:hideMark/>
          </w:tcPr>
          <w:p w14:paraId="65E1DB70"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c>
          <w:tcPr>
            <w:tcW w:w="720" w:type="dxa"/>
            <w:noWrap/>
            <w:tcMar>
              <w:top w:w="0" w:type="dxa"/>
              <w:left w:w="108" w:type="dxa"/>
              <w:bottom w:w="0" w:type="dxa"/>
              <w:right w:w="108" w:type="dxa"/>
            </w:tcMar>
            <w:hideMark/>
          </w:tcPr>
          <w:p w14:paraId="24AC4250"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c>
          <w:tcPr>
            <w:tcW w:w="709" w:type="dxa"/>
            <w:noWrap/>
            <w:tcMar>
              <w:top w:w="0" w:type="dxa"/>
              <w:left w:w="108" w:type="dxa"/>
              <w:bottom w:w="0" w:type="dxa"/>
              <w:right w:w="108" w:type="dxa"/>
            </w:tcMar>
            <w:hideMark/>
          </w:tcPr>
          <w:p w14:paraId="7F78BCBE"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r>
      <w:tr w:rsidR="00EB702A" w:rsidRPr="000061EB" w14:paraId="6204EEFC" w14:textId="77777777">
        <w:trPr>
          <w:trHeight w:val="300"/>
          <w:jc w:val="center"/>
        </w:trPr>
        <w:tc>
          <w:tcPr>
            <w:tcW w:w="4543" w:type="dxa"/>
            <w:noWrap/>
            <w:tcMar>
              <w:top w:w="0" w:type="dxa"/>
              <w:left w:w="108" w:type="dxa"/>
              <w:bottom w:w="0" w:type="dxa"/>
              <w:right w:w="108" w:type="dxa"/>
            </w:tcMar>
            <w:vAlign w:val="bottom"/>
            <w:hideMark/>
          </w:tcPr>
          <w:p w14:paraId="1D46D8BC" w14:textId="77777777" w:rsidR="00EB702A" w:rsidRPr="000061EB" w:rsidRDefault="00870D01">
            <w:pPr>
              <w:ind w:left="-108"/>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Dance</w:t>
            </w:r>
          </w:p>
        </w:tc>
        <w:tc>
          <w:tcPr>
            <w:tcW w:w="839" w:type="dxa"/>
            <w:noWrap/>
            <w:tcMar>
              <w:top w:w="0" w:type="dxa"/>
              <w:left w:w="108" w:type="dxa"/>
              <w:bottom w:w="0" w:type="dxa"/>
              <w:right w:w="108" w:type="dxa"/>
            </w:tcMar>
            <w:hideMark/>
          </w:tcPr>
          <w:p w14:paraId="41F56170"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c>
          <w:tcPr>
            <w:tcW w:w="850" w:type="dxa"/>
            <w:noWrap/>
            <w:tcMar>
              <w:top w:w="0" w:type="dxa"/>
              <w:left w:w="108" w:type="dxa"/>
              <w:bottom w:w="0" w:type="dxa"/>
              <w:right w:w="108" w:type="dxa"/>
            </w:tcMar>
            <w:hideMark/>
          </w:tcPr>
          <w:p w14:paraId="7DA7E7EA"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c>
          <w:tcPr>
            <w:tcW w:w="709" w:type="dxa"/>
            <w:noWrap/>
            <w:tcMar>
              <w:top w:w="0" w:type="dxa"/>
              <w:left w:w="108" w:type="dxa"/>
              <w:bottom w:w="0" w:type="dxa"/>
              <w:right w:w="108" w:type="dxa"/>
            </w:tcMar>
            <w:hideMark/>
          </w:tcPr>
          <w:p w14:paraId="2D79013B"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c>
          <w:tcPr>
            <w:tcW w:w="709" w:type="dxa"/>
            <w:noWrap/>
            <w:tcMar>
              <w:top w:w="0" w:type="dxa"/>
              <w:left w:w="108" w:type="dxa"/>
              <w:bottom w:w="0" w:type="dxa"/>
              <w:right w:w="108" w:type="dxa"/>
            </w:tcMar>
            <w:hideMark/>
          </w:tcPr>
          <w:p w14:paraId="16310CC7"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c>
          <w:tcPr>
            <w:tcW w:w="720" w:type="dxa"/>
            <w:noWrap/>
            <w:tcMar>
              <w:top w:w="0" w:type="dxa"/>
              <w:left w:w="108" w:type="dxa"/>
              <w:bottom w:w="0" w:type="dxa"/>
              <w:right w:w="108" w:type="dxa"/>
            </w:tcMar>
            <w:hideMark/>
          </w:tcPr>
          <w:p w14:paraId="72C3E7AF"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c>
          <w:tcPr>
            <w:tcW w:w="709" w:type="dxa"/>
            <w:noWrap/>
            <w:tcMar>
              <w:top w:w="0" w:type="dxa"/>
              <w:left w:w="108" w:type="dxa"/>
              <w:bottom w:w="0" w:type="dxa"/>
              <w:right w:w="108" w:type="dxa"/>
            </w:tcMar>
            <w:hideMark/>
          </w:tcPr>
          <w:p w14:paraId="609C2A05" w14:textId="77777777" w:rsidR="00EB702A" w:rsidRPr="000061EB" w:rsidRDefault="00870D01">
            <w:pPr>
              <w:ind w:left="50"/>
              <w:contextualSpacing/>
              <w:jc w:val="center"/>
              <w:rPr>
                <w:rFonts w:ascii="Gill Sans MT" w:eastAsiaTheme="minorHAnsi" w:hAnsi="Gill Sans MT" w:cs="Arial"/>
                <w:color w:val="000000"/>
                <w:sz w:val="22"/>
                <w:szCs w:val="22"/>
                <w:lang w:eastAsia="en-GB"/>
              </w:rPr>
            </w:pPr>
            <w:r w:rsidRPr="000061EB">
              <w:rPr>
                <w:rFonts w:ascii="Gill Sans MT" w:hAnsi="Gill Sans MT" w:cs="Arial"/>
                <w:color w:val="000000"/>
                <w:sz w:val="22"/>
                <w:szCs w:val="22"/>
                <w:lang w:eastAsia="en-GB"/>
              </w:rPr>
              <w:t>0.5</w:t>
            </w:r>
          </w:p>
        </w:tc>
      </w:tr>
      <w:tr w:rsidR="00EB702A" w:rsidRPr="000061EB" w14:paraId="37DC83D4" w14:textId="77777777">
        <w:trPr>
          <w:trHeight w:val="300"/>
          <w:jc w:val="center"/>
        </w:trPr>
        <w:tc>
          <w:tcPr>
            <w:tcW w:w="4543" w:type="dxa"/>
            <w:noWrap/>
            <w:tcMar>
              <w:top w:w="0" w:type="dxa"/>
              <w:left w:w="108" w:type="dxa"/>
              <w:bottom w:w="0" w:type="dxa"/>
              <w:right w:w="108" w:type="dxa"/>
            </w:tcMar>
            <w:vAlign w:val="bottom"/>
          </w:tcPr>
          <w:p w14:paraId="72512C56" w14:textId="77777777" w:rsidR="00EB702A" w:rsidRPr="000061EB" w:rsidRDefault="00870D01">
            <w:pPr>
              <w:ind w:left="-108"/>
              <w:contextualSpacing/>
              <w:jc w:val="center"/>
              <w:rPr>
                <w:rFonts w:ascii="Gill Sans MT" w:hAnsi="Gill Sans MT" w:cs="Arial"/>
                <w:color w:val="000000"/>
                <w:sz w:val="22"/>
                <w:szCs w:val="22"/>
                <w:lang w:eastAsia="en-GB"/>
              </w:rPr>
            </w:pPr>
            <w:r w:rsidRPr="000061EB">
              <w:rPr>
                <w:rFonts w:ascii="Gill Sans MT" w:hAnsi="Gill Sans MT" w:cs="Arial"/>
                <w:color w:val="000000"/>
                <w:sz w:val="22"/>
                <w:szCs w:val="22"/>
                <w:lang w:eastAsia="en-GB"/>
              </w:rPr>
              <w:t>Be Inspired (academic extension for all)</w:t>
            </w:r>
          </w:p>
        </w:tc>
        <w:tc>
          <w:tcPr>
            <w:tcW w:w="839" w:type="dxa"/>
            <w:shd w:val="clear" w:color="auto" w:fill="FFFFFF" w:themeFill="background1"/>
            <w:noWrap/>
            <w:tcMar>
              <w:top w:w="0" w:type="dxa"/>
              <w:left w:w="108" w:type="dxa"/>
              <w:bottom w:w="0" w:type="dxa"/>
              <w:right w:w="108" w:type="dxa"/>
            </w:tcMar>
          </w:tcPr>
          <w:p w14:paraId="2F1EC393" w14:textId="77777777" w:rsidR="00EB702A" w:rsidRPr="000061EB" w:rsidRDefault="00974BC5">
            <w:pPr>
              <w:contextualSpacing/>
              <w:jc w:val="center"/>
              <w:rPr>
                <w:rFonts w:ascii="Gill Sans MT" w:hAnsi="Gill Sans MT" w:cs="Arial"/>
                <w:sz w:val="22"/>
                <w:szCs w:val="22"/>
                <w:lang w:eastAsia="en-GB"/>
              </w:rPr>
            </w:pPr>
            <w:r w:rsidRPr="000061EB">
              <w:rPr>
                <w:rFonts w:ascii="Gill Sans MT" w:hAnsi="Gill Sans MT" w:cs="Arial"/>
                <w:sz w:val="22"/>
                <w:szCs w:val="22"/>
                <w:lang w:eastAsia="en-GB"/>
              </w:rPr>
              <w:t>0</w:t>
            </w:r>
          </w:p>
        </w:tc>
        <w:tc>
          <w:tcPr>
            <w:tcW w:w="850" w:type="dxa"/>
            <w:shd w:val="clear" w:color="auto" w:fill="FFFFFF" w:themeFill="background1"/>
            <w:noWrap/>
            <w:tcMar>
              <w:top w:w="0" w:type="dxa"/>
              <w:left w:w="108" w:type="dxa"/>
              <w:bottom w:w="0" w:type="dxa"/>
              <w:right w:w="108" w:type="dxa"/>
            </w:tcMar>
          </w:tcPr>
          <w:p w14:paraId="4A419A45" w14:textId="77777777" w:rsidR="00EB702A" w:rsidRPr="000061EB" w:rsidRDefault="00974BC5">
            <w:pPr>
              <w:contextualSpacing/>
              <w:jc w:val="center"/>
              <w:rPr>
                <w:rFonts w:ascii="Gill Sans MT" w:hAnsi="Gill Sans MT" w:cs="Arial"/>
                <w:sz w:val="22"/>
                <w:szCs w:val="22"/>
                <w:lang w:eastAsia="en-GB"/>
              </w:rPr>
            </w:pPr>
            <w:r w:rsidRPr="000061EB">
              <w:rPr>
                <w:rFonts w:ascii="Gill Sans MT" w:hAnsi="Gill Sans MT" w:cs="Arial"/>
                <w:sz w:val="22"/>
                <w:szCs w:val="22"/>
                <w:lang w:eastAsia="en-GB"/>
              </w:rPr>
              <w:t>0</w:t>
            </w:r>
          </w:p>
        </w:tc>
        <w:tc>
          <w:tcPr>
            <w:tcW w:w="709" w:type="dxa"/>
            <w:noWrap/>
            <w:tcMar>
              <w:top w:w="0" w:type="dxa"/>
              <w:left w:w="108" w:type="dxa"/>
              <w:bottom w:w="0" w:type="dxa"/>
              <w:right w:w="108" w:type="dxa"/>
            </w:tcMar>
          </w:tcPr>
          <w:p w14:paraId="51C827ED" w14:textId="77777777" w:rsidR="00EB702A" w:rsidRPr="000061EB" w:rsidRDefault="00870D01">
            <w:pPr>
              <w:contextualSpacing/>
              <w:jc w:val="center"/>
              <w:rPr>
                <w:rFonts w:ascii="Gill Sans MT" w:hAnsi="Gill Sans MT" w:cs="Arial"/>
                <w:sz w:val="22"/>
                <w:szCs w:val="22"/>
                <w:lang w:eastAsia="en-GB"/>
              </w:rPr>
            </w:pPr>
            <w:r w:rsidRPr="000061EB">
              <w:rPr>
                <w:rFonts w:ascii="Gill Sans MT" w:hAnsi="Gill Sans MT" w:cs="Arial"/>
                <w:sz w:val="22"/>
                <w:szCs w:val="22"/>
                <w:lang w:eastAsia="en-GB"/>
              </w:rPr>
              <w:t>1</w:t>
            </w:r>
          </w:p>
        </w:tc>
        <w:tc>
          <w:tcPr>
            <w:tcW w:w="709" w:type="dxa"/>
            <w:noWrap/>
            <w:tcMar>
              <w:top w:w="0" w:type="dxa"/>
              <w:left w:w="108" w:type="dxa"/>
              <w:bottom w:w="0" w:type="dxa"/>
              <w:right w:w="108" w:type="dxa"/>
            </w:tcMar>
          </w:tcPr>
          <w:p w14:paraId="06B0874B" w14:textId="77777777" w:rsidR="00EB702A" w:rsidRPr="000061EB" w:rsidRDefault="00870D01">
            <w:pPr>
              <w:contextualSpacing/>
              <w:jc w:val="center"/>
              <w:rPr>
                <w:rFonts w:ascii="Gill Sans MT" w:hAnsi="Gill Sans MT" w:cs="Arial"/>
                <w:sz w:val="22"/>
                <w:szCs w:val="22"/>
                <w:lang w:eastAsia="en-GB"/>
              </w:rPr>
            </w:pPr>
            <w:r w:rsidRPr="000061EB">
              <w:rPr>
                <w:rFonts w:ascii="Gill Sans MT" w:hAnsi="Gill Sans MT" w:cs="Arial"/>
                <w:sz w:val="22"/>
                <w:szCs w:val="22"/>
                <w:lang w:eastAsia="en-GB"/>
              </w:rPr>
              <w:t>1</w:t>
            </w:r>
          </w:p>
        </w:tc>
        <w:tc>
          <w:tcPr>
            <w:tcW w:w="720" w:type="dxa"/>
            <w:noWrap/>
            <w:tcMar>
              <w:top w:w="0" w:type="dxa"/>
              <w:left w:w="108" w:type="dxa"/>
              <w:bottom w:w="0" w:type="dxa"/>
              <w:right w:w="108" w:type="dxa"/>
            </w:tcMar>
          </w:tcPr>
          <w:p w14:paraId="3D42F3B4" w14:textId="77777777" w:rsidR="00EB702A" w:rsidRPr="000061EB" w:rsidRDefault="00870D01">
            <w:pPr>
              <w:ind w:left="50"/>
              <w:contextualSpacing/>
              <w:jc w:val="center"/>
              <w:rPr>
                <w:rFonts w:ascii="Gill Sans MT" w:hAnsi="Gill Sans MT" w:cs="Arial"/>
                <w:color w:val="000000"/>
                <w:sz w:val="22"/>
                <w:szCs w:val="22"/>
                <w:lang w:eastAsia="en-GB"/>
              </w:rPr>
            </w:pPr>
            <w:r w:rsidRPr="000061EB">
              <w:rPr>
                <w:rFonts w:ascii="Gill Sans MT" w:hAnsi="Gill Sans MT" w:cs="Arial"/>
                <w:color w:val="000000"/>
                <w:sz w:val="22"/>
                <w:szCs w:val="22"/>
                <w:lang w:eastAsia="en-GB"/>
              </w:rPr>
              <w:t>1</w:t>
            </w:r>
          </w:p>
        </w:tc>
        <w:tc>
          <w:tcPr>
            <w:tcW w:w="709" w:type="dxa"/>
            <w:noWrap/>
            <w:tcMar>
              <w:top w:w="0" w:type="dxa"/>
              <w:left w:w="108" w:type="dxa"/>
              <w:bottom w:w="0" w:type="dxa"/>
              <w:right w:w="108" w:type="dxa"/>
            </w:tcMar>
          </w:tcPr>
          <w:p w14:paraId="4C8C27B7" w14:textId="77777777" w:rsidR="00EB702A" w:rsidRPr="000061EB" w:rsidRDefault="00870D01">
            <w:pPr>
              <w:ind w:left="50"/>
              <w:contextualSpacing/>
              <w:jc w:val="center"/>
              <w:rPr>
                <w:rFonts w:ascii="Gill Sans MT" w:hAnsi="Gill Sans MT" w:cs="Arial"/>
                <w:color w:val="000000"/>
                <w:sz w:val="22"/>
                <w:szCs w:val="22"/>
                <w:lang w:eastAsia="en-GB"/>
              </w:rPr>
            </w:pPr>
            <w:r w:rsidRPr="000061EB">
              <w:rPr>
                <w:rFonts w:ascii="Gill Sans MT" w:hAnsi="Gill Sans MT" w:cs="Arial"/>
                <w:color w:val="000000"/>
                <w:sz w:val="22"/>
                <w:szCs w:val="22"/>
                <w:lang w:eastAsia="en-GB"/>
              </w:rPr>
              <w:t>1</w:t>
            </w:r>
          </w:p>
        </w:tc>
      </w:tr>
      <w:tr w:rsidR="00EB702A" w:rsidRPr="000061EB" w14:paraId="6B0FC86D" w14:textId="77777777">
        <w:trPr>
          <w:trHeight w:val="300"/>
          <w:jc w:val="center"/>
        </w:trPr>
        <w:tc>
          <w:tcPr>
            <w:tcW w:w="4543" w:type="dxa"/>
            <w:noWrap/>
            <w:tcMar>
              <w:top w:w="0" w:type="dxa"/>
              <w:left w:w="108" w:type="dxa"/>
              <w:bottom w:w="0" w:type="dxa"/>
              <w:right w:w="108" w:type="dxa"/>
            </w:tcMar>
            <w:vAlign w:val="bottom"/>
          </w:tcPr>
          <w:p w14:paraId="21BA2885" w14:textId="77777777" w:rsidR="00EB702A" w:rsidRPr="000061EB" w:rsidRDefault="00870D01">
            <w:pPr>
              <w:ind w:left="-108"/>
              <w:contextualSpacing/>
              <w:jc w:val="center"/>
              <w:rPr>
                <w:rFonts w:ascii="Gill Sans MT" w:hAnsi="Gill Sans MT" w:cs="Arial"/>
                <w:b/>
                <w:color w:val="000000"/>
                <w:lang w:eastAsia="en-GB"/>
              </w:rPr>
            </w:pPr>
            <w:r w:rsidRPr="000061EB">
              <w:rPr>
                <w:rFonts w:ascii="Gill Sans MT" w:hAnsi="Gill Sans MT" w:cs="Arial"/>
                <w:b/>
                <w:color w:val="000000"/>
                <w:lang w:eastAsia="en-GB"/>
              </w:rPr>
              <w:t xml:space="preserve">TOTAL </w:t>
            </w:r>
          </w:p>
        </w:tc>
        <w:tc>
          <w:tcPr>
            <w:tcW w:w="839" w:type="dxa"/>
            <w:noWrap/>
            <w:tcMar>
              <w:top w:w="0" w:type="dxa"/>
              <w:left w:w="108" w:type="dxa"/>
              <w:bottom w:w="0" w:type="dxa"/>
              <w:right w:w="108" w:type="dxa"/>
            </w:tcMar>
          </w:tcPr>
          <w:p w14:paraId="7DB13B3F" w14:textId="77777777" w:rsidR="00EB702A" w:rsidRPr="000061EB" w:rsidRDefault="00870D01">
            <w:pPr>
              <w:contextualSpacing/>
              <w:jc w:val="center"/>
              <w:rPr>
                <w:rFonts w:ascii="Gill Sans MT" w:hAnsi="Gill Sans MT" w:cs="Arial"/>
                <w:b/>
                <w:sz w:val="22"/>
                <w:szCs w:val="22"/>
                <w:lang w:eastAsia="en-GB"/>
              </w:rPr>
            </w:pPr>
            <w:r w:rsidRPr="000061EB">
              <w:rPr>
                <w:rFonts w:ascii="Gill Sans MT" w:hAnsi="Gill Sans MT" w:cs="Arial"/>
                <w:b/>
                <w:sz w:val="22"/>
                <w:szCs w:val="22"/>
                <w:lang w:eastAsia="en-GB"/>
              </w:rPr>
              <w:t>23.25</w:t>
            </w:r>
          </w:p>
        </w:tc>
        <w:tc>
          <w:tcPr>
            <w:tcW w:w="850" w:type="dxa"/>
            <w:noWrap/>
            <w:tcMar>
              <w:top w:w="0" w:type="dxa"/>
              <w:left w:w="108" w:type="dxa"/>
              <w:bottom w:w="0" w:type="dxa"/>
              <w:right w:w="108" w:type="dxa"/>
            </w:tcMar>
          </w:tcPr>
          <w:p w14:paraId="133AE44A" w14:textId="77777777" w:rsidR="00EB702A" w:rsidRPr="000061EB" w:rsidRDefault="00870D01">
            <w:pPr>
              <w:contextualSpacing/>
              <w:jc w:val="center"/>
              <w:rPr>
                <w:rFonts w:ascii="Gill Sans MT" w:hAnsi="Gill Sans MT" w:cs="Arial"/>
                <w:b/>
                <w:sz w:val="22"/>
                <w:szCs w:val="22"/>
                <w:lang w:eastAsia="en-GB"/>
              </w:rPr>
            </w:pPr>
            <w:r w:rsidRPr="000061EB">
              <w:rPr>
                <w:rFonts w:ascii="Gill Sans MT" w:hAnsi="Gill Sans MT" w:cs="Arial"/>
                <w:b/>
                <w:sz w:val="22"/>
                <w:szCs w:val="22"/>
                <w:lang w:eastAsia="en-GB"/>
              </w:rPr>
              <w:t>23.25</w:t>
            </w:r>
          </w:p>
        </w:tc>
        <w:tc>
          <w:tcPr>
            <w:tcW w:w="709" w:type="dxa"/>
            <w:noWrap/>
            <w:tcMar>
              <w:top w:w="0" w:type="dxa"/>
              <w:left w:w="108" w:type="dxa"/>
              <w:bottom w:w="0" w:type="dxa"/>
              <w:right w:w="108" w:type="dxa"/>
            </w:tcMar>
          </w:tcPr>
          <w:p w14:paraId="55549CDC" w14:textId="77777777" w:rsidR="00EB702A" w:rsidRPr="000061EB" w:rsidRDefault="00870D01">
            <w:pPr>
              <w:contextualSpacing/>
              <w:jc w:val="center"/>
              <w:rPr>
                <w:rFonts w:ascii="Gill Sans MT" w:hAnsi="Gill Sans MT" w:cs="Arial"/>
                <w:b/>
                <w:sz w:val="22"/>
                <w:szCs w:val="22"/>
                <w:lang w:eastAsia="en-GB"/>
              </w:rPr>
            </w:pPr>
            <w:r w:rsidRPr="000061EB">
              <w:rPr>
                <w:rFonts w:ascii="Gill Sans MT" w:hAnsi="Gill Sans MT" w:cs="Arial"/>
                <w:b/>
                <w:sz w:val="22"/>
                <w:szCs w:val="22"/>
                <w:lang w:eastAsia="en-GB"/>
              </w:rPr>
              <w:t>25</w:t>
            </w:r>
          </w:p>
        </w:tc>
        <w:tc>
          <w:tcPr>
            <w:tcW w:w="709" w:type="dxa"/>
            <w:noWrap/>
            <w:tcMar>
              <w:top w:w="0" w:type="dxa"/>
              <w:left w:w="108" w:type="dxa"/>
              <w:bottom w:w="0" w:type="dxa"/>
              <w:right w:w="108" w:type="dxa"/>
            </w:tcMar>
          </w:tcPr>
          <w:p w14:paraId="2A1283AF" w14:textId="77777777" w:rsidR="00EB702A" w:rsidRPr="000061EB" w:rsidRDefault="00870D01">
            <w:pPr>
              <w:contextualSpacing/>
              <w:jc w:val="center"/>
              <w:rPr>
                <w:rFonts w:ascii="Gill Sans MT" w:hAnsi="Gill Sans MT" w:cs="Arial"/>
                <w:b/>
                <w:sz w:val="22"/>
                <w:szCs w:val="22"/>
                <w:lang w:eastAsia="en-GB"/>
              </w:rPr>
            </w:pPr>
            <w:r w:rsidRPr="000061EB">
              <w:rPr>
                <w:rFonts w:ascii="Gill Sans MT" w:hAnsi="Gill Sans MT" w:cs="Arial"/>
                <w:b/>
                <w:sz w:val="22"/>
                <w:szCs w:val="22"/>
                <w:lang w:eastAsia="en-GB"/>
              </w:rPr>
              <w:t>25</w:t>
            </w:r>
          </w:p>
        </w:tc>
        <w:tc>
          <w:tcPr>
            <w:tcW w:w="720" w:type="dxa"/>
            <w:noWrap/>
            <w:tcMar>
              <w:top w:w="0" w:type="dxa"/>
              <w:left w:w="108" w:type="dxa"/>
              <w:bottom w:w="0" w:type="dxa"/>
              <w:right w:w="108" w:type="dxa"/>
            </w:tcMar>
          </w:tcPr>
          <w:p w14:paraId="2352894C" w14:textId="77777777" w:rsidR="00EB702A" w:rsidRPr="000061EB" w:rsidRDefault="00870D01">
            <w:pPr>
              <w:ind w:left="50"/>
              <w:contextualSpacing/>
              <w:jc w:val="center"/>
              <w:rPr>
                <w:rFonts w:ascii="Gill Sans MT" w:hAnsi="Gill Sans MT" w:cs="Arial"/>
                <w:b/>
                <w:color w:val="000000"/>
                <w:sz w:val="22"/>
                <w:szCs w:val="22"/>
                <w:lang w:eastAsia="en-GB"/>
              </w:rPr>
            </w:pPr>
            <w:r w:rsidRPr="000061EB">
              <w:rPr>
                <w:rFonts w:ascii="Gill Sans MT" w:hAnsi="Gill Sans MT" w:cs="Arial"/>
                <w:b/>
                <w:color w:val="000000"/>
                <w:sz w:val="22"/>
                <w:szCs w:val="22"/>
                <w:lang w:eastAsia="en-GB"/>
              </w:rPr>
              <w:t>25</w:t>
            </w:r>
          </w:p>
        </w:tc>
        <w:tc>
          <w:tcPr>
            <w:tcW w:w="709" w:type="dxa"/>
            <w:noWrap/>
            <w:tcMar>
              <w:top w:w="0" w:type="dxa"/>
              <w:left w:w="108" w:type="dxa"/>
              <w:bottom w:w="0" w:type="dxa"/>
              <w:right w:w="108" w:type="dxa"/>
            </w:tcMar>
          </w:tcPr>
          <w:p w14:paraId="3069EF58" w14:textId="77777777" w:rsidR="00EB702A" w:rsidRPr="000061EB" w:rsidRDefault="00870D01">
            <w:pPr>
              <w:ind w:left="50"/>
              <w:contextualSpacing/>
              <w:jc w:val="center"/>
              <w:rPr>
                <w:rFonts w:ascii="Gill Sans MT" w:hAnsi="Gill Sans MT" w:cs="Arial"/>
                <w:b/>
                <w:color w:val="000000"/>
                <w:sz w:val="22"/>
                <w:szCs w:val="22"/>
                <w:lang w:eastAsia="en-GB"/>
              </w:rPr>
            </w:pPr>
            <w:r w:rsidRPr="000061EB">
              <w:rPr>
                <w:rFonts w:ascii="Gill Sans MT" w:hAnsi="Gill Sans MT" w:cs="Arial"/>
                <w:b/>
                <w:color w:val="000000"/>
                <w:sz w:val="22"/>
                <w:szCs w:val="22"/>
                <w:lang w:eastAsia="en-GB"/>
              </w:rPr>
              <w:t>25</w:t>
            </w:r>
          </w:p>
        </w:tc>
      </w:tr>
    </w:tbl>
    <w:p w14:paraId="5788E60C" w14:textId="77777777" w:rsidR="00EB702A" w:rsidRPr="000061EB" w:rsidRDefault="00EB702A">
      <w:pPr>
        <w:pStyle w:val="BodyText"/>
        <w:widowControl/>
        <w:tabs>
          <w:tab w:val="left" w:pos="360"/>
        </w:tabs>
        <w:rPr>
          <w:rFonts w:ascii="Gill Sans MT" w:hAnsi="Gill Sans MT" w:cs="Arial"/>
          <w:sz w:val="22"/>
          <w:szCs w:val="22"/>
        </w:rPr>
      </w:pPr>
    </w:p>
    <w:p w14:paraId="39EE3C4B" w14:textId="77777777" w:rsidR="00EB702A" w:rsidRPr="000061EB" w:rsidRDefault="00870D01">
      <w:pPr>
        <w:pStyle w:val="BodyText"/>
        <w:widowControl/>
        <w:tabs>
          <w:tab w:val="left" w:pos="360"/>
        </w:tabs>
        <w:rPr>
          <w:rFonts w:ascii="Gill Sans MT" w:hAnsi="Gill Sans MT" w:cs="Arial"/>
          <w:sz w:val="22"/>
          <w:szCs w:val="22"/>
        </w:rPr>
      </w:pPr>
      <w:r w:rsidRPr="000061EB">
        <w:rPr>
          <w:rFonts w:ascii="Gill Sans MT" w:hAnsi="Gill Sans MT" w:cs="Arial"/>
          <w:sz w:val="22"/>
          <w:szCs w:val="22"/>
        </w:rPr>
        <w:t xml:space="preserve">PSHE, RE, British Values and Learning to Learn skills are also incorporated into whole school and Key Stage assemblies (40 mins weekly).  </w:t>
      </w:r>
    </w:p>
    <w:p w14:paraId="038BCC3C" w14:textId="77777777" w:rsidR="00EB702A" w:rsidRPr="000061EB" w:rsidRDefault="00EB702A">
      <w:pPr>
        <w:pStyle w:val="BodyText"/>
        <w:widowControl/>
        <w:tabs>
          <w:tab w:val="left" w:pos="360"/>
        </w:tabs>
        <w:rPr>
          <w:rFonts w:ascii="Gill Sans MT" w:hAnsi="Gill Sans MT" w:cs="Arial"/>
          <w:sz w:val="22"/>
          <w:szCs w:val="22"/>
        </w:rPr>
      </w:pPr>
    </w:p>
    <w:tbl>
      <w:tblPr>
        <w:tblW w:w="0" w:type="auto"/>
        <w:tblCellMar>
          <w:left w:w="0" w:type="dxa"/>
          <w:right w:w="0" w:type="dxa"/>
        </w:tblCellMar>
        <w:tblLook w:val="04A0" w:firstRow="1" w:lastRow="0" w:firstColumn="1" w:lastColumn="0" w:noHBand="0" w:noVBand="1"/>
      </w:tblPr>
      <w:tblGrid>
        <w:gridCol w:w="4527"/>
        <w:gridCol w:w="4677"/>
      </w:tblGrid>
      <w:tr w:rsidR="00EB702A" w:rsidRPr="000061EB" w14:paraId="76884D2F" w14:textId="77777777">
        <w:tc>
          <w:tcPr>
            <w:tcW w:w="4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26DC1C" w14:textId="63AF0B7B" w:rsidR="00EB702A" w:rsidRPr="000061EB" w:rsidRDefault="00150540">
            <w:pPr>
              <w:rPr>
                <w:rFonts w:ascii="Gill Sans MT" w:hAnsi="Gill Sans MT" w:cs="Arial"/>
                <w:sz w:val="22"/>
                <w:szCs w:val="22"/>
                <w:lang w:val="en-US"/>
              </w:rPr>
            </w:pPr>
            <w:r w:rsidRPr="000061EB">
              <w:rPr>
                <w:rFonts w:ascii="Gill Sans MT" w:hAnsi="Gill Sans MT" w:cs="Arial"/>
                <w:sz w:val="22"/>
                <w:szCs w:val="22"/>
              </w:rPr>
              <w:t>Reviewed: July 2020</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6EE7E" w14:textId="28242431" w:rsidR="00EB702A" w:rsidRPr="000061EB" w:rsidRDefault="00870D01">
            <w:pPr>
              <w:rPr>
                <w:rFonts w:ascii="Gill Sans MT" w:hAnsi="Gill Sans MT" w:cs="Arial"/>
                <w:sz w:val="22"/>
                <w:szCs w:val="22"/>
                <w:lang w:val="en-US"/>
              </w:rPr>
            </w:pPr>
            <w:r w:rsidRPr="000061EB">
              <w:rPr>
                <w:rFonts w:ascii="Gill Sans MT" w:hAnsi="Gill Sans MT" w:cs="Arial"/>
                <w:sz w:val="22"/>
                <w:szCs w:val="22"/>
              </w:rPr>
              <w:t>Next</w:t>
            </w:r>
            <w:r w:rsidR="00150540" w:rsidRPr="000061EB">
              <w:rPr>
                <w:rFonts w:ascii="Gill Sans MT" w:hAnsi="Gill Sans MT" w:cs="Arial"/>
                <w:sz w:val="22"/>
                <w:szCs w:val="22"/>
              </w:rPr>
              <w:t xml:space="preserve"> Review: July 2021</w:t>
            </w:r>
          </w:p>
        </w:tc>
      </w:tr>
    </w:tbl>
    <w:p w14:paraId="6605F61D" w14:textId="77777777" w:rsidR="00EB702A" w:rsidRPr="000061EB" w:rsidRDefault="00EB702A">
      <w:pPr>
        <w:rPr>
          <w:rFonts w:ascii="Gill Sans MT" w:hAnsi="Gill Sans MT"/>
        </w:rPr>
      </w:pPr>
    </w:p>
    <w:sectPr w:rsidR="00EB702A" w:rsidRPr="000061EB" w:rsidSect="00897DA7">
      <w:pgSz w:w="11906" w:h="16838"/>
      <w:pgMar w:top="1440" w:right="991"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D6672" w14:textId="77777777" w:rsidR="00974BC5" w:rsidRDefault="00974BC5" w:rsidP="00974BC5">
      <w:r>
        <w:separator/>
      </w:r>
    </w:p>
  </w:endnote>
  <w:endnote w:type="continuationSeparator" w:id="0">
    <w:p w14:paraId="4D2FFD54" w14:textId="77777777" w:rsidR="00974BC5" w:rsidRDefault="00974BC5" w:rsidP="0097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FA210" w14:textId="77777777" w:rsidR="00974BC5" w:rsidRDefault="00974BC5" w:rsidP="00974BC5">
      <w:r>
        <w:separator/>
      </w:r>
    </w:p>
  </w:footnote>
  <w:footnote w:type="continuationSeparator" w:id="0">
    <w:p w14:paraId="0BB8E608" w14:textId="77777777" w:rsidR="00974BC5" w:rsidRDefault="00974BC5" w:rsidP="00974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E528A"/>
    <w:multiLevelType w:val="singleLevel"/>
    <w:tmpl w:val="7EC8312C"/>
    <w:lvl w:ilvl="0">
      <w:start w:val="1"/>
      <w:numFmt w:val="decimal"/>
      <w:lvlText w:val="%1."/>
      <w:legacy w:legacy="1" w:legacySpace="0" w:legacyIndent="360"/>
      <w:lvlJc w:val="left"/>
      <w:pPr>
        <w:ind w:left="360" w:hanging="360"/>
      </w:pPr>
    </w:lvl>
  </w:abstractNum>
  <w:abstractNum w:abstractNumId="1" w15:restartNumberingAfterBreak="0">
    <w:nsid w:val="2B0F2418"/>
    <w:multiLevelType w:val="singleLevel"/>
    <w:tmpl w:val="7EC8312C"/>
    <w:lvl w:ilvl="0">
      <w:start w:val="1"/>
      <w:numFmt w:val="decimal"/>
      <w:lvlText w:val="%1."/>
      <w:legacy w:legacy="1" w:legacySpace="0" w:legacyIndent="360"/>
      <w:lvlJc w:val="left"/>
      <w:pPr>
        <w:ind w:left="360" w:hanging="360"/>
      </w:pPr>
    </w:lvl>
  </w:abstractNum>
  <w:abstractNum w:abstractNumId="2" w15:restartNumberingAfterBreak="0">
    <w:nsid w:val="6A31292E"/>
    <w:multiLevelType w:val="singleLevel"/>
    <w:tmpl w:val="9B582C2C"/>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2"/>
    <w:lvlOverride w:ilvl="0">
      <w:lvl w:ilvl="0">
        <w:start w:val="2"/>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2A"/>
    <w:rsid w:val="000061EB"/>
    <w:rsid w:val="00150540"/>
    <w:rsid w:val="004C24EC"/>
    <w:rsid w:val="008278BB"/>
    <w:rsid w:val="00870D01"/>
    <w:rsid w:val="00897DA7"/>
    <w:rsid w:val="00974BC5"/>
    <w:rsid w:val="00B15AA9"/>
    <w:rsid w:val="00EB47FC"/>
    <w:rsid w:val="00EB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72110"/>
  <w15:docId w15:val="{1BFFC5D0-EE4C-4DA8-938F-4D522CE9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3">
    <w:name w:val="Body Text 3"/>
    <w:basedOn w:val="Normal"/>
    <w:link w:val="BodyText3Char"/>
    <w:rPr>
      <w:rFonts w:ascii="Arial" w:hAnsi="Arial"/>
      <w:sz w:val="24"/>
    </w:rPr>
  </w:style>
  <w:style w:type="character" w:customStyle="1" w:styleId="BodyText3Char">
    <w:name w:val="Body Text 3 Char"/>
    <w:basedOn w:val="DefaultParagraphFont"/>
    <w:link w:val="BodyText3"/>
    <w:rPr>
      <w:rFonts w:ascii="Arial" w:eastAsia="Times New Roman" w:hAnsi="Arial" w:cs="Times New Roman"/>
      <w:sz w:val="24"/>
      <w:szCs w:val="20"/>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0"/>
      <w:szCs w:val="20"/>
    </w:rPr>
  </w:style>
  <w:style w:type="paragraph" w:styleId="NormalWeb">
    <w:name w:val="Normal (Web)"/>
    <w:basedOn w:val="Normal"/>
    <w:uiPriority w:val="99"/>
    <w:unhideWhenUsed/>
    <w:pPr>
      <w:widowControl/>
      <w:spacing w:before="100" w:beforeAutospacing="1" w:after="100" w:afterAutospacing="1"/>
    </w:pPr>
    <w:rPr>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7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C5867-2C4B-4640-B670-D057477082B3}">
  <ds:schemaRefs>
    <ds:schemaRef ds:uri="http://schemas.microsoft.com/sharepoint/v3/contenttype/forms"/>
  </ds:schemaRefs>
</ds:datastoreItem>
</file>

<file path=customXml/itemProps2.xml><?xml version="1.0" encoding="utf-8"?>
<ds:datastoreItem xmlns:ds="http://schemas.openxmlformats.org/officeDocument/2006/customXml" ds:itemID="{B1B31A4E-BDDE-4BE7-BF2F-9605DE73A4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8ef5f3d-5d6b-42cb-8ca6-99334076a046"/>
    <ds:schemaRef ds:uri="fbe9446f-1ac4-4d15-9e00-b0a9365a8a7f"/>
    <ds:schemaRef ds:uri="http://www.w3.org/XML/1998/namespace"/>
  </ds:schemaRefs>
</ds:datastoreItem>
</file>

<file path=customXml/itemProps3.xml><?xml version="1.0" encoding="utf-8"?>
<ds:datastoreItem xmlns:ds="http://schemas.openxmlformats.org/officeDocument/2006/customXml" ds:itemID="{420183AE-80D9-4766-A0F6-EF4946F40B62}"/>
</file>

<file path=docProps/app.xml><?xml version="1.0" encoding="utf-8"?>
<Properties xmlns="http://schemas.openxmlformats.org/officeDocument/2006/extended-properties" xmlns:vt="http://schemas.openxmlformats.org/officeDocument/2006/docPropsVTypes">
  <Template>Normal</Template>
  <TotalTime>3</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Jemma (RHS)</dc:creator>
  <cp:lastModifiedBy>Lilley, Claire (RHS) Staff</cp:lastModifiedBy>
  <cp:revision>5</cp:revision>
  <cp:lastPrinted>2016-07-06T11:32:00Z</cp:lastPrinted>
  <dcterms:created xsi:type="dcterms:W3CDTF">2019-05-27T10:37:00Z</dcterms:created>
  <dcterms:modified xsi:type="dcterms:W3CDTF">2020-09-17T10:24:00Z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1729800</vt:r8>
  </property>
</Properties>
</file>