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9989" w14:textId="576D76A7" w:rsidR="006F40D8" w:rsidRDefault="005A4378" w:rsidP="00F50290">
      <w:pPr>
        <w:pStyle w:val="Blockquote"/>
        <w:spacing w:before="0" w:after="0"/>
        <w:ind w:left="0" w:right="0"/>
        <w:jc w:val="center"/>
        <w:rPr>
          <w:rStyle w:val="Strong"/>
          <w:rFonts w:ascii="Arial" w:hAnsi="Arial" w:cs="Arial"/>
          <w:b w:val="0"/>
          <w:color w:val="000000"/>
          <w:szCs w:val="24"/>
        </w:rPr>
      </w:pPr>
      <w:r>
        <w:rPr>
          <w:rStyle w:val="Strong"/>
          <w:rFonts w:ascii="Arial" w:hAnsi="Arial" w:cs="Arial"/>
          <w:b w:val="0"/>
          <w:color w:val="000000"/>
          <w:szCs w:val="24"/>
        </w:rPr>
        <w:pict w14:anchorId="67288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35pt;height:111.35pt">
            <v:imagedata r:id="rId11" o:title="Bath_Logo no writing"/>
          </v:shape>
        </w:pict>
      </w:r>
    </w:p>
    <w:p w14:paraId="6AE28FA6" w14:textId="77777777" w:rsidR="006F40D8" w:rsidRPr="00A42285" w:rsidRDefault="006F40D8" w:rsidP="001B3CBF">
      <w:pPr>
        <w:pStyle w:val="Blockquote"/>
        <w:spacing w:before="0" w:after="0"/>
        <w:ind w:left="0" w:right="0" w:firstLine="720"/>
        <w:jc w:val="center"/>
        <w:rPr>
          <w:rStyle w:val="Strong"/>
          <w:rFonts w:ascii="Corbel" w:hAnsi="Corbel" w:cs="Arial"/>
          <w:b w:val="0"/>
          <w:color w:val="000000"/>
          <w:szCs w:val="24"/>
        </w:rPr>
      </w:pPr>
    </w:p>
    <w:p w14:paraId="10ADD682" w14:textId="2399DB5F" w:rsidR="006F40D8" w:rsidRDefault="006F40D8" w:rsidP="006F40D8">
      <w:pPr>
        <w:pStyle w:val="Blockquote"/>
        <w:spacing w:before="0" w:after="0"/>
        <w:ind w:right="0"/>
        <w:jc w:val="center"/>
        <w:rPr>
          <w:rStyle w:val="Strong"/>
          <w:rFonts w:ascii="Gill Sans MT" w:hAnsi="Gill Sans MT" w:cs="Arial"/>
          <w:color w:val="000000"/>
          <w:szCs w:val="24"/>
        </w:rPr>
      </w:pPr>
      <w:r w:rsidRPr="00C957BF">
        <w:rPr>
          <w:rStyle w:val="Strong"/>
          <w:rFonts w:ascii="Gill Sans MT" w:hAnsi="Gill Sans MT" w:cs="Arial"/>
          <w:color w:val="000000"/>
          <w:szCs w:val="24"/>
        </w:rPr>
        <w:t xml:space="preserve">EQUAL OPPORTUNITIES – </w:t>
      </w:r>
      <w:r w:rsidR="00F50290" w:rsidRPr="00C957BF">
        <w:rPr>
          <w:rStyle w:val="Strong"/>
          <w:rFonts w:ascii="Gill Sans MT" w:hAnsi="Gill Sans MT" w:cs="Arial"/>
          <w:color w:val="000000"/>
          <w:szCs w:val="24"/>
        </w:rPr>
        <w:t>EDUCATION</w:t>
      </w:r>
      <w:r w:rsidR="00A42285" w:rsidRPr="00C957BF">
        <w:rPr>
          <w:rStyle w:val="Strong"/>
          <w:rFonts w:ascii="Gill Sans MT" w:hAnsi="Gill Sans MT" w:cs="Arial"/>
          <w:color w:val="000000"/>
          <w:szCs w:val="24"/>
        </w:rPr>
        <w:t xml:space="preserve"> </w:t>
      </w:r>
      <w:r w:rsidR="00353163" w:rsidRPr="00C957BF">
        <w:rPr>
          <w:rStyle w:val="Strong"/>
          <w:rFonts w:ascii="Gill Sans MT" w:hAnsi="Gill Sans MT" w:cs="Arial"/>
          <w:color w:val="000000"/>
          <w:szCs w:val="24"/>
        </w:rPr>
        <w:t xml:space="preserve">(PS&amp;SS) </w:t>
      </w:r>
      <w:r w:rsidR="00A42285" w:rsidRPr="00C957BF">
        <w:rPr>
          <w:rStyle w:val="Strong"/>
          <w:rFonts w:ascii="Gill Sans MT" w:hAnsi="Gill Sans MT" w:cs="Arial"/>
          <w:color w:val="000000"/>
          <w:szCs w:val="24"/>
        </w:rPr>
        <w:t>[KATE REYNOLDS] 202</w:t>
      </w:r>
      <w:r w:rsidR="00DC59A0" w:rsidRPr="00C957BF">
        <w:rPr>
          <w:rStyle w:val="Strong"/>
          <w:rFonts w:ascii="Gill Sans MT" w:hAnsi="Gill Sans MT" w:cs="Arial"/>
          <w:color w:val="000000"/>
          <w:szCs w:val="24"/>
        </w:rPr>
        <w:t>0</w:t>
      </w:r>
      <w:r w:rsidR="00A42285" w:rsidRPr="00C957BF">
        <w:rPr>
          <w:rStyle w:val="Strong"/>
          <w:rFonts w:ascii="Gill Sans MT" w:hAnsi="Gill Sans MT" w:cs="Arial"/>
          <w:color w:val="000000"/>
          <w:szCs w:val="24"/>
        </w:rPr>
        <w:t>-21</w:t>
      </w:r>
    </w:p>
    <w:p w14:paraId="6081A101" w14:textId="53447FE6" w:rsidR="009411B4" w:rsidRDefault="009411B4" w:rsidP="006F40D8">
      <w:pPr>
        <w:pStyle w:val="Blockquote"/>
        <w:spacing w:before="0" w:after="0"/>
        <w:ind w:right="0"/>
        <w:jc w:val="center"/>
        <w:rPr>
          <w:rStyle w:val="Strong"/>
          <w:rFonts w:ascii="Gill Sans MT" w:hAnsi="Gill Sans MT" w:cs="Arial"/>
          <w:color w:val="000000"/>
          <w:szCs w:val="24"/>
        </w:rPr>
      </w:pPr>
    </w:p>
    <w:p w14:paraId="05EB7958" w14:textId="7462BE8C" w:rsidR="009411B4" w:rsidRPr="00A63C5F" w:rsidRDefault="00A63C5F" w:rsidP="006F40D8">
      <w:pPr>
        <w:pStyle w:val="Blockquote"/>
        <w:spacing w:before="0" w:after="0"/>
        <w:ind w:right="0"/>
        <w:jc w:val="center"/>
        <w:rPr>
          <w:rStyle w:val="Strong"/>
          <w:rFonts w:ascii="Gill Sans MT" w:hAnsi="Gill Sans MT" w:cs="Arial"/>
          <w:b w:val="0"/>
          <w:bCs/>
          <w:color w:val="FF0000"/>
          <w:szCs w:val="24"/>
        </w:rPr>
      </w:pPr>
      <w:r>
        <w:rPr>
          <w:rStyle w:val="Strong"/>
          <w:rFonts w:ascii="Gill Sans MT" w:hAnsi="Gill Sans MT" w:cs="Arial"/>
          <w:b w:val="0"/>
          <w:bCs/>
          <w:color w:val="FF0000"/>
          <w:szCs w:val="24"/>
        </w:rPr>
        <w:t xml:space="preserve">This policy has not needed </w:t>
      </w:r>
      <w:r w:rsidR="008F3AB1">
        <w:rPr>
          <w:rStyle w:val="Strong"/>
          <w:rFonts w:ascii="Gill Sans MT" w:hAnsi="Gill Sans MT" w:cs="Arial"/>
          <w:b w:val="0"/>
          <w:bCs/>
          <w:color w:val="FF0000"/>
          <w:szCs w:val="24"/>
        </w:rPr>
        <w:t xml:space="preserve">major </w:t>
      </w:r>
      <w:r>
        <w:rPr>
          <w:rStyle w:val="Strong"/>
          <w:rFonts w:ascii="Gill Sans MT" w:hAnsi="Gill Sans MT" w:cs="Arial"/>
          <w:b w:val="0"/>
          <w:bCs/>
          <w:color w:val="FF0000"/>
          <w:szCs w:val="24"/>
        </w:rPr>
        <w:t>updating because of the Covid-19 Crisis</w:t>
      </w:r>
      <w:r w:rsidR="00C42D94">
        <w:rPr>
          <w:rStyle w:val="Strong"/>
          <w:rFonts w:ascii="Gill Sans MT" w:hAnsi="Gill Sans MT" w:cs="Arial"/>
          <w:b w:val="0"/>
          <w:bCs/>
          <w:color w:val="FF0000"/>
          <w:szCs w:val="24"/>
        </w:rPr>
        <w:t>. The school aims by its Blended Learning or Guided Home Learning, and by its care for those with SEN</w:t>
      </w:r>
      <w:r w:rsidR="008F3AB1">
        <w:rPr>
          <w:rStyle w:val="Strong"/>
          <w:rFonts w:ascii="Gill Sans MT" w:hAnsi="Gill Sans MT" w:cs="Arial"/>
          <w:b w:val="0"/>
          <w:bCs/>
          <w:color w:val="FF0000"/>
          <w:szCs w:val="24"/>
        </w:rPr>
        <w:t>,</w:t>
      </w:r>
      <w:r w:rsidR="00C42D94">
        <w:rPr>
          <w:rStyle w:val="Strong"/>
          <w:rFonts w:ascii="Gill Sans MT" w:hAnsi="Gill Sans MT" w:cs="Arial"/>
          <w:b w:val="0"/>
          <w:bCs/>
          <w:color w:val="FF0000"/>
          <w:szCs w:val="24"/>
        </w:rPr>
        <w:t xml:space="preserve"> </w:t>
      </w:r>
      <w:r w:rsidR="00DF14A1">
        <w:rPr>
          <w:rStyle w:val="Strong"/>
          <w:rFonts w:ascii="Gill Sans MT" w:hAnsi="Gill Sans MT" w:cs="Arial"/>
          <w:b w:val="0"/>
          <w:bCs/>
          <w:color w:val="FF0000"/>
          <w:szCs w:val="24"/>
        </w:rPr>
        <w:t>to ensure that no child is disadvantaged</w:t>
      </w:r>
      <w:r w:rsidR="008F3AB1">
        <w:rPr>
          <w:rStyle w:val="Strong"/>
          <w:rFonts w:ascii="Gill Sans MT" w:hAnsi="Gill Sans MT" w:cs="Arial"/>
          <w:b w:val="0"/>
          <w:bCs/>
          <w:color w:val="FF0000"/>
          <w:szCs w:val="24"/>
        </w:rPr>
        <w:t>.</w:t>
      </w:r>
    </w:p>
    <w:p w14:paraId="780AEECC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56780371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i/>
          <w:color w:val="000000"/>
          <w:sz w:val="22"/>
          <w:szCs w:val="22"/>
        </w:rPr>
        <w:t xml:space="preserve">Applicable to: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All staff, governors, students, parents and visitors</w:t>
      </w:r>
    </w:p>
    <w:p w14:paraId="5528DF4A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1C0B0089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i/>
          <w:color w:val="000000"/>
          <w:sz w:val="22"/>
          <w:szCs w:val="22"/>
        </w:rPr>
        <w:t>Aims:</w:t>
      </w:r>
    </w:p>
    <w:p w14:paraId="6D205BC3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0D6D396F" w14:textId="77777777" w:rsidR="009A7B14" w:rsidRPr="00C957BF" w:rsidRDefault="009A7B14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The Council of The Girls’ Day School Trust </w:t>
      </w:r>
      <w:r w:rsidR="00A34F3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(the </w:t>
      </w:r>
      <w:r w:rsidR="00A34F38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“Trust”</w:t>
      </w:r>
      <w:r w:rsidR="00A34F3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)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is committed to equal opportunities in education and will not unlawfully discriminate against</w:t>
      </w:r>
      <w:r w:rsidR="001F3881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="00321823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or treat </w:t>
      </w:r>
      <w:r w:rsidR="000D7F06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less </w:t>
      </w:r>
      <w:r w:rsidR="00321823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favourably</w:t>
      </w:r>
      <w:r w:rsidR="001F3881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</w:t>
      </w:r>
      <w:r w:rsidR="00321823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any</w:t>
      </w:r>
      <w:r w:rsidR="001B3CB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at, or applicant to, its schools</w:t>
      </w:r>
      <w:r w:rsidR="000D7F06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on the grounds of race, </w:t>
      </w:r>
      <w:r w:rsidR="000A608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disability, sexual orientation,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religion</w:t>
      </w:r>
      <w:r w:rsidR="00E131E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or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="00241DF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belief</w:t>
      </w:r>
      <w:r w:rsidR="00F67D5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(or lack thereof</w:t>
      </w:r>
      <w:r w:rsidR="00BA171A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)</w:t>
      </w:r>
      <w:r w:rsidR="002061A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 gender reassignment, sexual orientation, or pregnancy or maternity (‘protected characteristics’)</w:t>
      </w:r>
      <w:r w:rsidR="00241DF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  <w:r w:rsidR="002061A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The Trust will also not discriminate against, or treat less favourably, any </w:t>
      </w:r>
      <w:r w:rsidR="001B3CB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="00BC096E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at, or applicant to, its schools</w:t>
      </w:r>
      <w:r w:rsidR="002061A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because they are perceived to have one of the protected characteristics or are associated with someone who has a protected characteristic.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All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and staff </w:t>
      </w:r>
      <w:r w:rsidR="00093BA6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shall be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encouraged to value and respect others and to challenge inappropriate attitudes, behaviour and practices.</w:t>
      </w:r>
    </w:p>
    <w:p w14:paraId="324118E3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066493D6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i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i/>
          <w:color w:val="000000"/>
          <w:sz w:val="22"/>
          <w:szCs w:val="22"/>
        </w:rPr>
        <w:t>Implementation:</w:t>
      </w:r>
    </w:p>
    <w:p w14:paraId="5B882446" w14:textId="77777777" w:rsidR="001B3CBF" w:rsidRPr="00C957BF" w:rsidRDefault="001B3CBF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10E47FBA" w14:textId="77777777" w:rsidR="009A7B14" w:rsidRPr="00C957BF" w:rsidRDefault="009A7B14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This poli</w:t>
      </w:r>
      <w:r w:rsidR="006F40D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cy embraces the following areas:</w:t>
      </w:r>
    </w:p>
    <w:p w14:paraId="2904C46F" w14:textId="77777777" w:rsidR="009A7B14" w:rsidRPr="00C957BF" w:rsidRDefault="009A7B14" w:rsidP="001B3CBF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36F0A334" w14:textId="77777777" w:rsidR="009A7B14" w:rsidRPr="00C957BF" w:rsidRDefault="009A7B14" w:rsidP="00DC69C4">
      <w:pPr>
        <w:pStyle w:val="Blockquote"/>
        <w:numPr>
          <w:ilvl w:val="0"/>
          <w:numId w:val="4"/>
        </w:numPr>
        <w:tabs>
          <w:tab w:val="clear" w:pos="1080"/>
          <w:tab w:val="num" w:pos="720"/>
        </w:tabs>
        <w:spacing w:before="0" w:after="0"/>
        <w:ind w:right="0" w:hanging="96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Admissions</w:t>
      </w:r>
    </w:p>
    <w:p w14:paraId="48B1C34E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69E50C3" w14:textId="11BD632B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Each school has its own w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ritten admissions policy for principal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points of entry, and a copy is available from the school.</w:t>
      </w:r>
      <w:r w:rsidR="00DC59A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(See </w:t>
      </w:r>
      <w:r w:rsidR="00DC59A0" w:rsidRPr="00C957BF">
        <w:rPr>
          <w:rStyle w:val="Strong"/>
          <w:rFonts w:ascii="Gill Sans MT" w:hAnsi="Gill Sans MT" w:cs="Arial"/>
          <w:b w:val="0"/>
          <w:i/>
          <w:color w:val="000000"/>
          <w:sz w:val="22"/>
          <w:szCs w:val="22"/>
        </w:rPr>
        <w:t>Admission of Students to RHSB</w:t>
      </w:r>
      <w:r w:rsidR="00DC59A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policy.)</w:t>
      </w:r>
    </w:p>
    <w:p w14:paraId="628D4957" w14:textId="77777777" w:rsidR="009A7B14" w:rsidRPr="00C957BF" w:rsidRDefault="009A7B14" w:rsidP="00052967">
      <w:pPr>
        <w:pStyle w:val="NormalWeb"/>
        <w:ind w:left="720"/>
        <w:jc w:val="both"/>
        <w:rPr>
          <w:rStyle w:val="Strong"/>
          <w:rFonts w:ascii="Gill Sans MT" w:hAnsi="Gill Sans MT" w:cs="Arial"/>
          <w:b w:val="0"/>
          <w:sz w:val="22"/>
          <w:szCs w:val="22"/>
        </w:rPr>
      </w:pPr>
      <w:r w:rsidRPr="00C957BF">
        <w:rPr>
          <w:rStyle w:val="Emphasis"/>
          <w:rFonts w:ascii="Gill Sans MT" w:hAnsi="Gill Sans MT" w:cs="Arial"/>
          <w:i w:val="0"/>
          <w:color w:val="000000"/>
          <w:sz w:val="22"/>
          <w:szCs w:val="22"/>
        </w:rPr>
        <w:t xml:space="preserve">Admission to schools is </w:t>
      </w:r>
      <w:r w:rsidR="00A32D79" w:rsidRPr="00C957BF">
        <w:rPr>
          <w:rStyle w:val="Emphasis"/>
          <w:rFonts w:ascii="Gill Sans MT" w:hAnsi="Gill Sans MT" w:cs="Arial"/>
          <w:i w:val="0"/>
          <w:color w:val="000000"/>
          <w:sz w:val="22"/>
          <w:szCs w:val="22"/>
        </w:rPr>
        <w:t xml:space="preserve">usually </w:t>
      </w:r>
      <w:r w:rsidRPr="00C957BF">
        <w:rPr>
          <w:rStyle w:val="Emphasis"/>
          <w:rFonts w:ascii="Gill Sans MT" w:hAnsi="Gill Sans MT" w:cs="Arial"/>
          <w:i w:val="0"/>
          <w:color w:val="000000"/>
          <w:sz w:val="22"/>
          <w:szCs w:val="22"/>
        </w:rPr>
        <w:t xml:space="preserve">dependent on achieving an acceptable standard in an assessment or examination appropriate to the age group and academic pace of the school, as well as the availability of places.  </w:t>
      </w:r>
      <w:r w:rsidR="00052967" w:rsidRPr="00C957BF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>Due consideration will be given to education</w:t>
      </w:r>
      <w:r w:rsidR="001B3CBF" w:rsidRPr="00C957BF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>al experience in assessing student</w:t>
      </w:r>
      <w:r w:rsidR="00052967" w:rsidRPr="00C957BF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>s’ achievement of an ‘acceptable standard’, an</w:t>
      </w:r>
      <w:r w:rsidR="001B3CBF" w:rsidRPr="00C957BF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>d to maximising access for student</w:t>
      </w:r>
      <w:r w:rsidR="00052967" w:rsidRPr="00C957BF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 xml:space="preserve">s to whom the school can add value. </w:t>
      </w:r>
      <w:r w:rsidRPr="00C957BF">
        <w:rPr>
          <w:rStyle w:val="Emphasis"/>
          <w:rFonts w:ascii="Gill Sans MT" w:hAnsi="Gill Sans MT" w:cs="Arial"/>
          <w:i w:val="0"/>
          <w:color w:val="000000"/>
          <w:sz w:val="22"/>
          <w:szCs w:val="22"/>
        </w:rPr>
        <w:t xml:space="preserve">All examinations and tests are expected to be free of bias, and broadly to reflect expectations of </w:t>
      </w:r>
      <w:r w:rsidR="00883D77" w:rsidRPr="00C957BF">
        <w:rPr>
          <w:rStyle w:val="Emphasis"/>
          <w:rFonts w:ascii="Gill Sans MT" w:hAnsi="Gill Sans MT" w:cs="Arial"/>
          <w:i w:val="0"/>
          <w:color w:val="000000"/>
          <w:sz w:val="22"/>
          <w:szCs w:val="22"/>
        </w:rPr>
        <w:t>students</w:t>
      </w:r>
      <w:r w:rsidRPr="00C957BF">
        <w:rPr>
          <w:rStyle w:val="Emphasis"/>
          <w:rFonts w:ascii="Gill Sans MT" w:hAnsi="Gill Sans MT" w:cs="Arial"/>
          <w:i w:val="0"/>
          <w:color w:val="000000"/>
          <w:sz w:val="22"/>
          <w:szCs w:val="22"/>
        </w:rPr>
        <w:t xml:space="preserve"> at the relevant stage in their development, regardless of background.</w:t>
      </w:r>
      <w:r w:rsidR="00052967" w:rsidRPr="00C957BF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 xml:space="preserve"> </w:t>
      </w:r>
    </w:p>
    <w:p w14:paraId="61437C26" w14:textId="77777777" w:rsidR="009A7B14" w:rsidRPr="00C957BF" w:rsidRDefault="009A7B14" w:rsidP="0005296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Arrangements for tests are also made with the intention of ensuring that no candidate is unfairly disadvantaged, and, where practicable, reasonable adjustments will be made to cater for individual needs.</w:t>
      </w:r>
    </w:p>
    <w:p w14:paraId="74FEAD12" w14:textId="77777777" w:rsidR="002515FF" w:rsidRPr="00C957BF" w:rsidRDefault="002515FF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94281A0" w14:textId="77777777" w:rsidR="002515FF" w:rsidRPr="00C957BF" w:rsidRDefault="002515FF" w:rsidP="00DC69C4">
      <w:pPr>
        <w:pStyle w:val="Blockquote"/>
        <w:numPr>
          <w:ilvl w:val="0"/>
          <w:numId w:val="4"/>
        </w:numPr>
        <w:tabs>
          <w:tab w:val="clear" w:pos="1080"/>
          <w:tab w:val="num" w:pos="720"/>
        </w:tabs>
        <w:spacing w:before="0" w:after="0"/>
        <w:ind w:right="0" w:hanging="96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Access</w:t>
      </w:r>
    </w:p>
    <w:p w14:paraId="3773BB28" w14:textId="77777777" w:rsidR="002515FF" w:rsidRPr="00C957BF" w:rsidRDefault="002515FF" w:rsidP="002515FF">
      <w:pPr>
        <w:pStyle w:val="Blockquote"/>
        <w:spacing w:before="0" w:after="0"/>
        <w:ind w:left="1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6DDFB3D0" w14:textId="77777777" w:rsidR="002515FF" w:rsidRPr="00C957BF" w:rsidRDefault="002515FF" w:rsidP="002515FF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In addition to admission,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="002061A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with protected characteristics (as defined above)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will not be discriminated against in relation to access to the school’s benefits,</w:t>
      </w:r>
      <w:r w:rsidR="00BC7D6C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facilities or services.</w:t>
      </w:r>
    </w:p>
    <w:p w14:paraId="3A021AF0" w14:textId="77777777" w:rsidR="00D5153F" w:rsidRPr="00C957BF" w:rsidRDefault="00D5153F" w:rsidP="002515FF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7DD04412" w14:textId="77777777" w:rsidR="00D5153F" w:rsidRPr="00C957BF" w:rsidRDefault="003A624C" w:rsidP="002515FF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There are special considerations in relation to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with a d</w:t>
      </w:r>
      <w:r w:rsidR="00D5153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isability and access for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with disabilities is dealt with in (f</w:t>
      </w:r>
      <w:r w:rsidR="00D5153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) below.</w:t>
      </w:r>
    </w:p>
    <w:p w14:paraId="1AA118A9" w14:textId="0751CB36" w:rsidR="00A42285" w:rsidRPr="00C957BF" w:rsidRDefault="00A42285" w:rsidP="002515FF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0CE822D8" w14:textId="77777777" w:rsidR="009A7B14" w:rsidRPr="00C957BF" w:rsidRDefault="009A7B14" w:rsidP="00DC69C4">
      <w:pPr>
        <w:pStyle w:val="Blockquote"/>
        <w:numPr>
          <w:ilvl w:val="0"/>
          <w:numId w:val="4"/>
        </w:numPr>
        <w:tabs>
          <w:tab w:val="clear" w:pos="1080"/>
          <w:tab w:val="num" w:pos="720"/>
        </w:tabs>
        <w:spacing w:before="0" w:after="0"/>
        <w:ind w:right="0" w:hanging="96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Transfers</w:t>
      </w:r>
    </w:p>
    <w:p w14:paraId="408D6593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0B7E9F95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lastRenderedPageBreak/>
        <w:t>Arrangements for transfer betw</w:t>
      </w:r>
      <w:r w:rsidR="00AB5E0C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een key stages (e.g. from Prep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to Senior Department and entry to the Sixth Form</w:t>
      </w:r>
      <w:r w:rsidR="000A608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in all-through Trust schools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) are subject to the terms of the contract with parents and written criteria published by the school.</w:t>
      </w:r>
    </w:p>
    <w:p w14:paraId="13BCCF2E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4D64C617" w14:textId="528A363C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Continuity of education is anticipated normally throughout</w:t>
      </w:r>
      <w:r w:rsidR="00AB5E0C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each age range (i.e. the Prep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and Senior Departments) and at the key stages of transfer unless in the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professional judgement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of the Head after due deliberation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will not benefit from continuing to be educated at the school or has not attained a sufficiently high standard of work or behaviour for continuation or for entry to the next stage. Factors such as poor behaviour or lack of motivation on the part of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or a</w:t>
      </w:r>
      <w:r w:rsidR="00A32D7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n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="00A32D7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irreparable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breakdown of the </w:t>
      </w:r>
      <w:r w:rsidR="00A32D7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necessary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relationship </w:t>
      </w:r>
      <w:r w:rsidR="00A32D7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of trust and confidence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between the family and the school may be taken into account. As a term of the parent contract, parents and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agree to be bound by the school rules and to support the school in maintaining its ethos and good standards of behaviour.</w:t>
      </w:r>
    </w:p>
    <w:p w14:paraId="2E104AE8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421664FF" w14:textId="55A81A1F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Clear procedures must be in place to keep parents informed of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progress in any of the above areas at the earliest opportunity, and of any targets to be met should transfer be in doubt.  Specific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guidance</w:t>
      </w:r>
      <w:r w:rsidR="00DB7EBA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and timings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for certain key stages of transfer are set out in the parent contract.</w:t>
      </w:r>
    </w:p>
    <w:p w14:paraId="702D65BF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18A54BCC" w14:textId="6CBDE196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Transfer between Trust schools, for example as a result of relocation or the need for boarding facilities, may be arranged. Any such transfer will be subject to the availability of a place and the professional judgment of the school in which a place is being sought of the ability of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concerned to benefit from such a place, given the overall nature of the intake.   This may necessitate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’s involvement in some form of admissions procedure, in addition to a recommendation from the original Head. </w:t>
      </w:r>
    </w:p>
    <w:p w14:paraId="18598AE2" w14:textId="77777777" w:rsidR="00BE3B41" w:rsidRPr="00C957BF" w:rsidRDefault="00BE3B41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3E31B54D" w14:textId="77777777" w:rsidR="009A7B14" w:rsidRPr="00C957BF" w:rsidRDefault="00441A62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There is no entitlement to transfer from a GDST school to one of the Academies for which it is a sponsor</w:t>
      </w:r>
      <w:r w:rsidR="00BE3B41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. </w:t>
      </w:r>
    </w:p>
    <w:p w14:paraId="14052377" w14:textId="77777777" w:rsidR="004E03E7" w:rsidRPr="00C957BF" w:rsidRDefault="004E03E7" w:rsidP="00441A62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242E5390" w14:textId="77777777" w:rsidR="009A7B14" w:rsidRPr="00C957BF" w:rsidRDefault="009A7B14" w:rsidP="00DC69C4">
      <w:pPr>
        <w:pStyle w:val="Blockquote"/>
        <w:numPr>
          <w:ilvl w:val="0"/>
          <w:numId w:val="4"/>
        </w:numPr>
        <w:tabs>
          <w:tab w:val="clear" w:pos="1080"/>
          <w:tab w:val="num" w:pos="720"/>
        </w:tabs>
        <w:spacing w:before="0" w:after="0"/>
        <w:ind w:right="0" w:hanging="96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Special educational needs</w:t>
      </w:r>
    </w:p>
    <w:p w14:paraId="20489228" w14:textId="77777777" w:rsidR="004E03E7" w:rsidRPr="00C957BF" w:rsidRDefault="004E03E7" w:rsidP="004E03E7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1B1BD004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The Trust has established guidelines for its schools on responding to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with special educational needs (</w:t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“SEN”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)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 which are explained in the Trust’s Inclusion Policy.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All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schools have a written policy setting out their approach to identification/support and highlighting any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additional costs to parents.  </w:t>
      </w:r>
    </w:p>
    <w:p w14:paraId="1507E7DF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B571540" w14:textId="1A0031FB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Initial and on-going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assessment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is intended to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enable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difficulties/special gifts to be identified</w:t>
      </w:r>
      <w:r w:rsidR="000D4A3D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/</w:t>
      </w:r>
      <w:r w:rsidR="000D4A3D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supported.  Each school should designate an appropriate member of staff to co-ordinate arrangements for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with SEN.  </w:t>
      </w:r>
    </w:p>
    <w:p w14:paraId="06D71DC8" w14:textId="77777777" w:rsidR="007772B0" w:rsidRPr="00C957BF" w:rsidRDefault="007772B0" w:rsidP="006F40D8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color w:val="000000"/>
          <w:sz w:val="22"/>
          <w:szCs w:val="22"/>
        </w:rPr>
      </w:pPr>
    </w:p>
    <w:p w14:paraId="059E39EE" w14:textId="77777777" w:rsidR="009A7B14" w:rsidRPr="00C957BF" w:rsidRDefault="009A7B14" w:rsidP="00BD655F">
      <w:pPr>
        <w:pStyle w:val="Blockquote"/>
        <w:keepNext/>
        <w:numPr>
          <w:ilvl w:val="0"/>
          <w:numId w:val="4"/>
        </w:numPr>
        <w:tabs>
          <w:tab w:val="clear" w:pos="1080"/>
          <w:tab w:val="num" w:pos="720"/>
        </w:tabs>
        <w:spacing w:before="0" w:after="0"/>
        <w:ind w:right="0" w:hanging="96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Religious observance</w:t>
      </w:r>
    </w:p>
    <w:p w14:paraId="222122C0" w14:textId="77777777" w:rsidR="009A7B14" w:rsidRPr="00C957BF" w:rsidRDefault="009A7B14" w:rsidP="00BD655F">
      <w:pPr>
        <w:pStyle w:val="Blockquote"/>
        <w:keepNext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6C3ED792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Schools are required to provide assemblies which bring together the whole community to reflect on moral, spiritual and ethical issues, and promote a sense of the existence of God or of a reality which transcends the purely material. This is generally achieved within a broadly Christian framework but should take account of the specific needs of the school community. </w:t>
      </w:r>
      <w:r w:rsidR="009B2FFB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Arrangements can be made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for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to be excused </w:t>
      </w:r>
      <w:r w:rsidR="000A608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from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attendance</w:t>
      </w:r>
      <w:r w:rsidR="009B2FFB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 at the written request of parents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. </w:t>
      </w:r>
    </w:p>
    <w:p w14:paraId="41E0E23E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B543512" w14:textId="77777777" w:rsidR="009A7B14" w:rsidRPr="00C957BF" w:rsidRDefault="00441A62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The Trust’s policy is that Religious S</w:t>
      </w:r>
      <w:r w:rsidR="009A7B14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tudies should be accessible to all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="009A7B14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. However,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="009A7B14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may be excused from all or part of the programme at the written request of parents.</w:t>
      </w:r>
    </w:p>
    <w:p w14:paraId="1884D77F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3B4BE29A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Schools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will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seek to make appropriate arrangements to reflect the requirements of different religious faiths with regard to acceptable variations to school uniform</w:t>
      </w:r>
      <w:r w:rsidR="000A608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(see the Trust’s Uniform </w:t>
      </w:r>
      <w:r w:rsidR="00906E9A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Guidance</w:t>
      </w:r>
      <w:r w:rsidR="000A608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)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 catering arrangements and authorised absence for religious festivals falling during term time. These may include reasonable arrangements to allow for specific acts of religious observance in school.</w:t>
      </w:r>
    </w:p>
    <w:p w14:paraId="69410203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7DF725A5" w14:textId="77777777" w:rsidR="009A7B14" w:rsidRPr="00C957BF" w:rsidRDefault="009A7B14" w:rsidP="00DC69C4">
      <w:pPr>
        <w:pStyle w:val="Blockquote"/>
        <w:numPr>
          <w:ilvl w:val="0"/>
          <w:numId w:val="4"/>
        </w:numPr>
        <w:tabs>
          <w:tab w:val="clear" w:pos="1080"/>
          <w:tab w:val="num" w:pos="720"/>
        </w:tabs>
        <w:spacing w:before="0" w:after="0"/>
        <w:ind w:right="0" w:hanging="960"/>
        <w:jc w:val="both"/>
        <w:rPr>
          <w:rStyle w:val="Strong"/>
          <w:rFonts w:ascii="Gill Sans MT" w:hAnsi="Gill Sans MT" w:cs="Arial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 xml:space="preserve">Disability and access for </w:t>
      </w:r>
      <w:r w:rsidR="00441A62"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people with disabilities</w:t>
      </w:r>
    </w:p>
    <w:p w14:paraId="0D6C351D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0B3E4AEB" w14:textId="77777777" w:rsidR="00052967" w:rsidRPr="00C957BF" w:rsidRDefault="0005296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In this policy </w:t>
      </w:r>
      <w:r w:rsidR="009B2FFB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“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disability</w:t>
      </w:r>
      <w:r w:rsidR="009B2FFB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”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has the meaning set out in </w:t>
      </w:r>
      <w:r w:rsidR="002F313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the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Equality Act 2010</w:t>
      </w:r>
      <w:r w:rsidR="002F313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, that is, </w:t>
      </w:r>
      <w:r w:rsidR="002F3138" w:rsidRPr="00C957BF">
        <w:rPr>
          <w:rFonts w:ascii="Gill Sans MT" w:hAnsi="Gill Sans MT" w:cs="Arial"/>
          <w:sz w:val="22"/>
          <w:szCs w:val="22"/>
        </w:rPr>
        <w:t>a physical or mental impairment which has a substantial and long-term adverse effect on his/her ability to carry out normal day-to-day activities.</w:t>
      </w:r>
    </w:p>
    <w:p w14:paraId="6FCCC161" w14:textId="77777777" w:rsidR="002F3138" w:rsidRPr="00C957BF" w:rsidRDefault="002F3138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1D23A64B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lastRenderedPageBreak/>
        <w:t xml:space="preserve">The Trust will 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make reasonable adjustment</w:t>
      </w:r>
      <w:r w:rsidR="00645E8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to address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the individual needs of all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and prospective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with disabilities as </w:t>
      </w:r>
      <w:r w:rsidR="00BD655F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explained in</w:t>
      </w:r>
      <w:r w:rsidR="00B93D5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its guidance on t</w:t>
      </w:r>
      <w:r w:rsidR="00645E89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he non-premises aspects of disa</w:t>
      </w:r>
      <w:r w:rsidR="00B93D5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bility legislation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</w:p>
    <w:p w14:paraId="7BAF4F0E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0F78B4B0" w14:textId="77777777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Statutory requirements regarding access for </w:t>
      </w:r>
      <w:r w:rsidR="00441A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people with disabilities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to new buildings are met</w:t>
      </w:r>
      <w:r w:rsidR="00444C3E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and the Trust has a published Accessibility Strategy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  Some of the Trust’s existing premises are subject to listed building and other planning restrictions or cannot readily be modified.</w:t>
      </w:r>
      <w:r w:rsidR="004E03E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However, each school has its own accessibility plan, which sets out a structured programme to increase access </w:t>
      </w:r>
      <w:r w:rsidR="006E7EBC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over time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to its facilities</w:t>
      </w:r>
      <w:r w:rsidR="006E7EBC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, curriculum, and provision of information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</w:p>
    <w:p w14:paraId="24B88D4B" w14:textId="77777777" w:rsidR="009A7B14" w:rsidRPr="00C957BF" w:rsidRDefault="009A7B14">
      <w:pPr>
        <w:pStyle w:val="Blockquote"/>
        <w:spacing w:before="0" w:after="0"/>
        <w:ind w:left="720" w:right="0" w:hanging="72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5711496A" w14:textId="77777777" w:rsidR="009A7B14" w:rsidRPr="00C957BF" w:rsidRDefault="009A7B14" w:rsidP="00675537">
      <w:pPr>
        <w:pStyle w:val="Blockquote"/>
        <w:spacing w:before="0" w:after="0"/>
        <w:ind w:left="720" w:right="0" w:hanging="60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(</w:t>
      </w:r>
      <w:r w:rsidR="006F40D8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g</w:t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)</w:t>
      </w:r>
      <w:r w:rsidR="00260170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ab/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Scholarships, bursaries and prizes</w:t>
      </w:r>
    </w:p>
    <w:p w14:paraId="4D3A592C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527BDBE1" w14:textId="29921594" w:rsidR="009A7B14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Arrangements for the award of scholarships, bursaries and prizes </w:t>
      </w:r>
      <w:r w:rsidR="004E03E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are made with the intention of </w:t>
      </w:r>
      <w:r w:rsidR="00DB7EBA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facilitating increased access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for candidates.</w:t>
      </w:r>
    </w:p>
    <w:p w14:paraId="74AF19FB" w14:textId="555A8FEA" w:rsidR="009A7B14" w:rsidRPr="00C957BF" w:rsidRDefault="009A7B14" w:rsidP="00A42285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7C84AAD1" w14:textId="77777777" w:rsidR="009A7B14" w:rsidRPr="00C957BF" w:rsidRDefault="006F40D8" w:rsidP="002515FF">
      <w:pPr>
        <w:pStyle w:val="Blockquote"/>
        <w:spacing w:before="0" w:after="0"/>
        <w:ind w:left="120" w:right="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(h</w:t>
      </w:r>
      <w:r w:rsidR="002515FF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)</w:t>
      </w:r>
      <w:r w:rsidR="002515FF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ab/>
      </w:r>
      <w:r w:rsidR="009A7B14"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Exclusion</w:t>
      </w:r>
    </w:p>
    <w:p w14:paraId="0899FEDA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  <w:u w:val="single"/>
        </w:rPr>
      </w:pPr>
    </w:p>
    <w:p w14:paraId="16D2AC77" w14:textId="77777777" w:rsidR="009A7B14" w:rsidRPr="00C957BF" w:rsidRDefault="009A7B14" w:rsidP="0067553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Schools are required to follow the </w:t>
      </w:r>
      <w:r w:rsidR="000A608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Council’s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procedures for the fixed period or permanent exclusion of </w:t>
      </w:r>
      <w:r w:rsidR="00883D7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</w:p>
    <w:p w14:paraId="2B2F1EB5" w14:textId="77777777" w:rsidR="004A0262" w:rsidRPr="00C957BF" w:rsidRDefault="004A0262" w:rsidP="0067553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49B9D88D" w14:textId="77777777" w:rsidR="004A0262" w:rsidRPr="00C957BF" w:rsidRDefault="00883D77" w:rsidP="0067553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="004A0262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will not be excluded from the schools on the basis of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 protected characteristic </w:t>
      </w:r>
      <w:r w:rsidR="00B26541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(as defined above) 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or because they are perceived to have a protected characteristics or are associated with someone who has a protected characteristic</w:t>
      </w:r>
      <w:r w:rsidR="00F72DD4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</w:p>
    <w:p w14:paraId="79B5680B" w14:textId="77777777" w:rsidR="00E402B7" w:rsidRPr="00C957BF" w:rsidRDefault="00E402B7" w:rsidP="0067553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3F65717F" w14:textId="110854ED" w:rsidR="00E402B7" w:rsidRPr="00C957BF" w:rsidRDefault="00441A62" w:rsidP="00675537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Where a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with a disability is facing exclusion, schools should </w:t>
      </w:r>
      <w:r w:rsidR="006C486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consider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whether or not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’s disability has a behavioural component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, and 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reasonable adjustments will 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be 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made to 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take</w:t>
      </w:r>
      <w:r w:rsidR="00E53B47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account 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of the possible effect of this, alongside the impact of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’s behaviour on the school community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. </w:t>
      </w:r>
      <w:r w:rsidR="006C486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In </w:t>
      </w:r>
      <w:r w:rsidR="009B2FFB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some 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circumstances,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it may</w:t>
      </w:r>
      <w:r w:rsidR="007772B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still be appropriate</w:t>
      </w:r>
      <w:r w:rsidR="00291008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to exclude the </w:t>
      </w:r>
      <w:r w:rsidR="00F50290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</w:p>
    <w:p w14:paraId="31BFE696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29FDCCFA" w14:textId="77777777" w:rsidR="009A7B14" w:rsidRPr="00C957BF" w:rsidRDefault="009A7B14" w:rsidP="00E038C5">
      <w:pPr>
        <w:pStyle w:val="Blockquote"/>
        <w:spacing w:before="0" w:after="0"/>
        <w:ind w:left="720" w:right="0" w:hanging="60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(</w:t>
      </w:r>
      <w:r w:rsidR="006F40D8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i</w:t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)</w:t>
      </w:r>
      <w:r w:rsidR="00BC7D6C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ab/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Other policies</w:t>
      </w:r>
    </w:p>
    <w:p w14:paraId="08AD6D6A" w14:textId="77777777" w:rsidR="009A7B14" w:rsidRPr="00C957BF" w:rsidRDefault="009A7B14">
      <w:pPr>
        <w:pStyle w:val="Blockquote"/>
        <w:spacing w:before="0" w:after="0"/>
        <w:ind w:left="720" w:right="0" w:hanging="72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1077E14E" w14:textId="7B611268" w:rsidR="009A7B14" w:rsidRPr="00C957BF" w:rsidRDefault="009A7B14" w:rsidP="00A42285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Individual schools operate a range of other policies in all of which they are expected to reflect equal opportunities’ issues.  These include policies on, for example:</w:t>
      </w:r>
      <w:r w:rsidR="00A4228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safeguarding</w:t>
      </w:r>
      <w:r w:rsidR="00A4228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,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discipline</w:t>
      </w:r>
      <w:r w:rsidR="004760BA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/</w:t>
      </w:r>
      <w:r w:rsidR="004760BA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sanctions</w:t>
      </w:r>
      <w:r w:rsidR="00A4228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, anti-bullying,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entry to public examinations.</w:t>
      </w:r>
    </w:p>
    <w:p w14:paraId="620B31E5" w14:textId="77777777" w:rsidR="009A7B14" w:rsidRPr="00C957BF" w:rsidRDefault="009A7B14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285FFBF" w14:textId="77777777" w:rsidR="009A7B14" w:rsidRPr="00C957BF" w:rsidRDefault="009A7B14" w:rsidP="00E038C5">
      <w:pPr>
        <w:pStyle w:val="Blockquote"/>
        <w:spacing w:before="0" w:after="0"/>
        <w:ind w:left="720" w:right="0" w:hanging="600"/>
        <w:jc w:val="both"/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(</w:t>
      </w:r>
      <w:r w:rsidR="006F40D8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j</w:t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)</w:t>
      </w:r>
      <w:r w:rsidR="00BC7D6C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ab/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Monitoring of policy implementation</w:t>
      </w:r>
    </w:p>
    <w:p w14:paraId="49B12F42" w14:textId="77777777" w:rsidR="004337FE" w:rsidRPr="00C957BF" w:rsidRDefault="004337FE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color w:val="000000"/>
          <w:sz w:val="22"/>
          <w:szCs w:val="22"/>
        </w:rPr>
      </w:pPr>
    </w:p>
    <w:p w14:paraId="2D6ECDE5" w14:textId="77777777" w:rsidR="009A7B14" w:rsidRPr="00C957BF" w:rsidRDefault="009A7B14" w:rsidP="00E038C5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Applications and admissions are subject to ethnic </w:t>
      </w:r>
      <w:r w:rsidR="00AF4A41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and disability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monitoring, and </w:t>
      </w:r>
      <w:r w:rsidR="00AF4A41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such 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monitoring will be undertaken in respect of academic performance over time. </w:t>
      </w:r>
      <w:r w:rsidR="00B93D55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Arrangements for reviewing, monitoring and evaluating the effectiveness of inclusive practices are set out in the Trust’s Inclusion Policy</w:t>
      </w: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.</w:t>
      </w:r>
    </w:p>
    <w:p w14:paraId="0EDD98A5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635AC3C" w14:textId="77777777" w:rsidR="009A7B14" w:rsidRPr="00C957BF" w:rsidRDefault="009A7B14" w:rsidP="00360331">
      <w:pPr>
        <w:pStyle w:val="Blockquote"/>
        <w:spacing w:before="0" w:after="0"/>
        <w:ind w:left="720" w:right="0" w:hanging="600"/>
        <w:jc w:val="both"/>
        <w:rPr>
          <w:rStyle w:val="Strong"/>
          <w:rFonts w:ascii="Gill Sans MT" w:hAnsi="Gill Sans MT" w:cs="Arial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(</w:t>
      </w:r>
      <w:r w:rsidR="006F40D8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k</w:t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>)</w:t>
      </w:r>
      <w:r w:rsidR="00BC7D6C" w:rsidRPr="00C957BF">
        <w:rPr>
          <w:rStyle w:val="Strong"/>
          <w:rFonts w:ascii="Gill Sans MT" w:hAnsi="Gill Sans MT" w:cs="Arial"/>
          <w:color w:val="000000"/>
          <w:sz w:val="22"/>
          <w:szCs w:val="22"/>
        </w:rPr>
        <w:tab/>
      </w:r>
      <w:r w:rsidRPr="00C957BF">
        <w:rPr>
          <w:rStyle w:val="Strong"/>
          <w:rFonts w:ascii="Gill Sans MT" w:hAnsi="Gill Sans MT" w:cs="Arial"/>
          <w:color w:val="000000"/>
          <w:sz w:val="22"/>
          <w:szCs w:val="22"/>
          <w:u w:val="single"/>
        </w:rPr>
        <w:t>Complaints</w:t>
      </w:r>
    </w:p>
    <w:p w14:paraId="341D5FC6" w14:textId="77777777" w:rsidR="009A7B14" w:rsidRPr="00C957BF" w:rsidRDefault="009A7B14">
      <w:pPr>
        <w:pStyle w:val="Blockquote"/>
        <w:spacing w:before="0" w:after="0"/>
        <w:ind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</w:t>
      </w:r>
    </w:p>
    <w:p w14:paraId="65F010EF" w14:textId="77777777" w:rsidR="009A7B14" w:rsidRPr="00C957BF" w:rsidRDefault="009A7B14" w:rsidP="00360331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Any parent who is not satisfied that the above policies have been properly applied may make a complaint in accordance with the Trust’s formal complaints procedure, which complies with all statutory requirements and is available from the school.</w:t>
      </w:r>
    </w:p>
    <w:p w14:paraId="45C69124" w14:textId="77777777" w:rsidR="009A7B14" w:rsidRPr="00C957BF" w:rsidRDefault="009A7B14" w:rsidP="00360331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</w:p>
    <w:p w14:paraId="6DBAF6A1" w14:textId="77777777" w:rsidR="009A7B14" w:rsidRPr="00C957BF" w:rsidRDefault="00883D77" w:rsidP="00360331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>Students</w:t>
      </w:r>
      <w:r w:rsidR="009A7B14"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should be made aware of the mechanisms available to them within school to raise matters of concern of an academic or pastoral nature.</w:t>
      </w:r>
    </w:p>
    <w:p w14:paraId="3894758D" w14:textId="77777777" w:rsidR="00FD7DDD" w:rsidRPr="00C957BF" w:rsidRDefault="009A7B14">
      <w:pPr>
        <w:pStyle w:val="Blockquote"/>
        <w:spacing w:before="0" w:after="0"/>
        <w:ind w:left="720" w:right="0"/>
        <w:jc w:val="both"/>
        <w:rPr>
          <w:rStyle w:val="Strong"/>
          <w:rFonts w:ascii="Gill Sans MT" w:hAnsi="Gill Sans MT" w:cs="Arial"/>
          <w:b w:val="0"/>
          <w:snapToGrid/>
          <w:color w:val="000000"/>
          <w:szCs w:val="24"/>
        </w:rPr>
      </w:pPr>
      <w:r w:rsidRPr="00C957BF">
        <w:rPr>
          <w:rStyle w:val="Strong"/>
          <w:rFonts w:ascii="Gill Sans MT" w:hAnsi="Gill Sans MT" w:cs="Arial"/>
          <w:b w:val="0"/>
          <w:color w:val="000000"/>
          <w:sz w:val="22"/>
          <w:szCs w:val="2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883D77" w:rsidRPr="00C957BF" w14:paraId="07D92E37" w14:textId="77777777" w:rsidTr="00883D77">
        <w:tc>
          <w:tcPr>
            <w:tcW w:w="5341" w:type="dxa"/>
          </w:tcPr>
          <w:p w14:paraId="326E6DD4" w14:textId="5B27DEC4" w:rsidR="00883D77" w:rsidRPr="00C957BF" w:rsidRDefault="00883D77" w:rsidP="00883D77">
            <w:pPr>
              <w:pStyle w:val="Blockquote"/>
              <w:spacing w:before="0" w:after="0"/>
              <w:ind w:left="0" w:right="0"/>
              <w:jc w:val="both"/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</w:pPr>
            <w:r w:rsidRPr="00C957BF">
              <w:rPr>
                <w:rStyle w:val="Strong"/>
                <w:rFonts w:ascii="Gill Sans MT" w:hAnsi="Gill Sans MT" w:cs="Arial"/>
                <w:color w:val="000000"/>
                <w:szCs w:val="24"/>
              </w:rPr>
              <w:t>Reviewed:</w:t>
            </w:r>
            <w:r w:rsidR="00A42285" w:rsidRPr="00C957BF"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  <w:t xml:space="preserve"> </w:t>
            </w:r>
            <w:r w:rsidR="009411B4"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  <w:t>September</w:t>
            </w:r>
            <w:r w:rsidR="00A42285" w:rsidRPr="00C957BF"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  <w:t xml:space="preserve"> 2020</w:t>
            </w:r>
          </w:p>
        </w:tc>
        <w:tc>
          <w:tcPr>
            <w:tcW w:w="5341" w:type="dxa"/>
          </w:tcPr>
          <w:p w14:paraId="51781C0E" w14:textId="7EFC2E4B" w:rsidR="00361605" w:rsidRPr="00C957BF" w:rsidRDefault="00883D77" w:rsidP="00883D77">
            <w:pPr>
              <w:pStyle w:val="Blockquote"/>
              <w:spacing w:before="0" w:after="0"/>
              <w:ind w:left="0" w:right="0"/>
              <w:jc w:val="both"/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</w:pPr>
            <w:r w:rsidRPr="00C957BF">
              <w:rPr>
                <w:rStyle w:val="Strong"/>
                <w:rFonts w:ascii="Gill Sans MT" w:hAnsi="Gill Sans MT" w:cs="Arial"/>
                <w:color w:val="000000"/>
                <w:szCs w:val="24"/>
              </w:rPr>
              <w:t>Next Review:</w:t>
            </w:r>
            <w:r w:rsidR="00F50290" w:rsidRPr="00C957BF"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  <w:t xml:space="preserve"> June 202</w:t>
            </w:r>
            <w:r w:rsidR="00A42285" w:rsidRPr="00C957BF">
              <w:rPr>
                <w:rStyle w:val="Strong"/>
                <w:rFonts w:ascii="Gill Sans MT" w:hAnsi="Gill Sans MT" w:cs="Arial"/>
                <w:b w:val="0"/>
                <w:color w:val="000000"/>
                <w:szCs w:val="24"/>
              </w:rPr>
              <w:t>1</w:t>
            </w:r>
          </w:p>
        </w:tc>
      </w:tr>
    </w:tbl>
    <w:p w14:paraId="31CEA163" w14:textId="77777777" w:rsidR="00883D77" w:rsidRPr="00C957BF" w:rsidRDefault="00883D77" w:rsidP="00A42285">
      <w:pPr>
        <w:pStyle w:val="Blockquote"/>
        <w:spacing w:before="0" w:after="0"/>
        <w:ind w:left="0" w:right="0"/>
        <w:jc w:val="both"/>
        <w:rPr>
          <w:rStyle w:val="Strong"/>
          <w:rFonts w:ascii="Gill Sans MT" w:hAnsi="Gill Sans MT" w:cs="Arial"/>
          <w:b w:val="0"/>
          <w:color w:val="000000"/>
          <w:szCs w:val="24"/>
          <w:u w:val="single"/>
        </w:rPr>
      </w:pPr>
    </w:p>
    <w:sectPr w:rsidR="00883D77" w:rsidRPr="00C957BF" w:rsidSect="001B3CBF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20" w:footer="720" w:gutter="0"/>
      <w:paperSrc w:first="1" w:other="1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CD0F" w14:textId="77777777" w:rsidR="005A4378" w:rsidRDefault="005A4378">
      <w:r>
        <w:separator/>
      </w:r>
    </w:p>
  </w:endnote>
  <w:endnote w:type="continuationSeparator" w:id="0">
    <w:p w14:paraId="41C755FD" w14:textId="77777777" w:rsidR="005A4378" w:rsidRDefault="005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62AB" w14:textId="77777777" w:rsidR="001B3CBF" w:rsidRDefault="001B3CBF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14:paraId="6DA717B4" w14:textId="77777777" w:rsidR="001B3CBF" w:rsidRDefault="001B3CBF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858F" w14:textId="77777777" w:rsidR="001B3CBF" w:rsidRDefault="001B3CBF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37FF" w14:textId="77777777" w:rsidR="005A4378" w:rsidRDefault="005A4378">
      <w:r>
        <w:separator/>
      </w:r>
    </w:p>
  </w:footnote>
  <w:footnote w:type="continuationSeparator" w:id="0">
    <w:p w14:paraId="217BE841" w14:textId="77777777" w:rsidR="005A4378" w:rsidRDefault="005A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78A1" w14:textId="77777777" w:rsidR="001B3CBF" w:rsidRDefault="001B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061A8"/>
    <w:multiLevelType w:val="hybridMultilevel"/>
    <w:tmpl w:val="56CC5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7AF3"/>
    <w:multiLevelType w:val="hybridMultilevel"/>
    <w:tmpl w:val="4B58070A"/>
    <w:lvl w:ilvl="0" w:tplc="94482100">
      <w:start w:val="8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DEC36F4"/>
    <w:multiLevelType w:val="hybridMultilevel"/>
    <w:tmpl w:val="507E601E"/>
    <w:lvl w:ilvl="0" w:tplc="471436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53EFA"/>
    <w:multiLevelType w:val="hybridMultilevel"/>
    <w:tmpl w:val="D3424A5E"/>
    <w:lvl w:ilvl="0" w:tplc="6FC0A7AA">
      <w:start w:val="7"/>
      <w:numFmt w:val="lowerLetter"/>
      <w:lvlText w:val="(%1)"/>
      <w:lvlJc w:val="left"/>
      <w:pPr>
        <w:tabs>
          <w:tab w:val="num" w:pos="570"/>
        </w:tabs>
        <w:ind w:left="57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E517159"/>
    <w:multiLevelType w:val="hybridMultilevel"/>
    <w:tmpl w:val="7DE06BD4"/>
    <w:lvl w:ilvl="0" w:tplc="1842E3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F0BC8"/>
    <w:multiLevelType w:val="hybridMultilevel"/>
    <w:tmpl w:val="DEDAE148"/>
    <w:lvl w:ilvl="0" w:tplc="719AA42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14"/>
    <w:rsid w:val="00030E2B"/>
    <w:rsid w:val="00052967"/>
    <w:rsid w:val="00062970"/>
    <w:rsid w:val="00077311"/>
    <w:rsid w:val="00093BA6"/>
    <w:rsid w:val="000A6088"/>
    <w:rsid w:val="000B29C1"/>
    <w:rsid w:val="000B5403"/>
    <w:rsid w:val="000D4A3D"/>
    <w:rsid w:val="000D7F06"/>
    <w:rsid w:val="0011023C"/>
    <w:rsid w:val="00112A42"/>
    <w:rsid w:val="00125115"/>
    <w:rsid w:val="00125B52"/>
    <w:rsid w:val="00131E7F"/>
    <w:rsid w:val="001330F3"/>
    <w:rsid w:val="001352B2"/>
    <w:rsid w:val="00147CBC"/>
    <w:rsid w:val="00152798"/>
    <w:rsid w:val="00180E0E"/>
    <w:rsid w:val="00182EAB"/>
    <w:rsid w:val="00197885"/>
    <w:rsid w:val="001B3CBF"/>
    <w:rsid w:val="001D002F"/>
    <w:rsid w:val="001F3881"/>
    <w:rsid w:val="002061A7"/>
    <w:rsid w:val="00241DF9"/>
    <w:rsid w:val="002515FF"/>
    <w:rsid w:val="00260170"/>
    <w:rsid w:val="00262450"/>
    <w:rsid w:val="002757A6"/>
    <w:rsid w:val="002800ED"/>
    <w:rsid w:val="0028555A"/>
    <w:rsid w:val="00290A9A"/>
    <w:rsid w:val="00291008"/>
    <w:rsid w:val="002A174D"/>
    <w:rsid w:val="002F3138"/>
    <w:rsid w:val="002F3C34"/>
    <w:rsid w:val="00307DF5"/>
    <w:rsid w:val="00317A4B"/>
    <w:rsid w:val="0032174D"/>
    <w:rsid w:val="00321823"/>
    <w:rsid w:val="0032544B"/>
    <w:rsid w:val="0033623E"/>
    <w:rsid w:val="00337CBC"/>
    <w:rsid w:val="00353163"/>
    <w:rsid w:val="00360331"/>
    <w:rsid w:val="00361605"/>
    <w:rsid w:val="003665CB"/>
    <w:rsid w:val="003823A2"/>
    <w:rsid w:val="00392F62"/>
    <w:rsid w:val="003A624C"/>
    <w:rsid w:val="003B29F5"/>
    <w:rsid w:val="003F3023"/>
    <w:rsid w:val="004039E2"/>
    <w:rsid w:val="004054A6"/>
    <w:rsid w:val="00412AD5"/>
    <w:rsid w:val="00432770"/>
    <w:rsid w:val="004337FE"/>
    <w:rsid w:val="00441A62"/>
    <w:rsid w:val="00444C3E"/>
    <w:rsid w:val="004478FF"/>
    <w:rsid w:val="004561DA"/>
    <w:rsid w:val="00473611"/>
    <w:rsid w:val="004760BA"/>
    <w:rsid w:val="004A0262"/>
    <w:rsid w:val="004B0C74"/>
    <w:rsid w:val="004E03E7"/>
    <w:rsid w:val="004E6A2D"/>
    <w:rsid w:val="004E6FFA"/>
    <w:rsid w:val="004F2679"/>
    <w:rsid w:val="004F7C10"/>
    <w:rsid w:val="0051263A"/>
    <w:rsid w:val="00591587"/>
    <w:rsid w:val="005A4378"/>
    <w:rsid w:val="005B14C5"/>
    <w:rsid w:val="005C1B69"/>
    <w:rsid w:val="005E28B9"/>
    <w:rsid w:val="005E5179"/>
    <w:rsid w:val="005E791F"/>
    <w:rsid w:val="00615B56"/>
    <w:rsid w:val="00616FD4"/>
    <w:rsid w:val="00645E89"/>
    <w:rsid w:val="00675537"/>
    <w:rsid w:val="006A1CB6"/>
    <w:rsid w:val="006A4936"/>
    <w:rsid w:val="006B5B4A"/>
    <w:rsid w:val="006C4865"/>
    <w:rsid w:val="006C7282"/>
    <w:rsid w:val="006E7EBC"/>
    <w:rsid w:val="006F40D8"/>
    <w:rsid w:val="00702B50"/>
    <w:rsid w:val="0070571B"/>
    <w:rsid w:val="007311C0"/>
    <w:rsid w:val="00755377"/>
    <w:rsid w:val="0075788D"/>
    <w:rsid w:val="00762AF8"/>
    <w:rsid w:val="00766977"/>
    <w:rsid w:val="007772B0"/>
    <w:rsid w:val="0078317D"/>
    <w:rsid w:val="00786B54"/>
    <w:rsid w:val="007B249A"/>
    <w:rsid w:val="007E00CA"/>
    <w:rsid w:val="007F5DE9"/>
    <w:rsid w:val="008056D1"/>
    <w:rsid w:val="0088023A"/>
    <w:rsid w:val="00883D77"/>
    <w:rsid w:val="008A4F47"/>
    <w:rsid w:val="008B507B"/>
    <w:rsid w:val="008C5680"/>
    <w:rsid w:val="008C6C40"/>
    <w:rsid w:val="008F3AB1"/>
    <w:rsid w:val="00906E9A"/>
    <w:rsid w:val="00927EAC"/>
    <w:rsid w:val="009411B4"/>
    <w:rsid w:val="0095202D"/>
    <w:rsid w:val="00960203"/>
    <w:rsid w:val="00965631"/>
    <w:rsid w:val="009955AE"/>
    <w:rsid w:val="009A7B14"/>
    <w:rsid w:val="009B2FFB"/>
    <w:rsid w:val="009D1E6D"/>
    <w:rsid w:val="009D3FD4"/>
    <w:rsid w:val="009E5E84"/>
    <w:rsid w:val="00A0204C"/>
    <w:rsid w:val="00A2007A"/>
    <w:rsid w:val="00A26262"/>
    <w:rsid w:val="00A321B8"/>
    <w:rsid w:val="00A32D79"/>
    <w:rsid w:val="00A330AE"/>
    <w:rsid w:val="00A34F38"/>
    <w:rsid w:val="00A4180F"/>
    <w:rsid w:val="00A42285"/>
    <w:rsid w:val="00A63C5F"/>
    <w:rsid w:val="00A67B74"/>
    <w:rsid w:val="00A77693"/>
    <w:rsid w:val="00A83601"/>
    <w:rsid w:val="00AA62ED"/>
    <w:rsid w:val="00AB5E0C"/>
    <w:rsid w:val="00AC1816"/>
    <w:rsid w:val="00AC7FF2"/>
    <w:rsid w:val="00AE454E"/>
    <w:rsid w:val="00AE6C97"/>
    <w:rsid w:val="00AF4A41"/>
    <w:rsid w:val="00AF4D9C"/>
    <w:rsid w:val="00AF6325"/>
    <w:rsid w:val="00B23CD5"/>
    <w:rsid w:val="00B26541"/>
    <w:rsid w:val="00B41354"/>
    <w:rsid w:val="00B73E08"/>
    <w:rsid w:val="00B93D55"/>
    <w:rsid w:val="00BA171A"/>
    <w:rsid w:val="00BB33A2"/>
    <w:rsid w:val="00BB5F07"/>
    <w:rsid w:val="00BC096E"/>
    <w:rsid w:val="00BC6E75"/>
    <w:rsid w:val="00BC7D6C"/>
    <w:rsid w:val="00BD655F"/>
    <w:rsid w:val="00BE3B41"/>
    <w:rsid w:val="00BE4356"/>
    <w:rsid w:val="00BF7B16"/>
    <w:rsid w:val="00C07C07"/>
    <w:rsid w:val="00C10CD5"/>
    <w:rsid w:val="00C272DB"/>
    <w:rsid w:val="00C42D94"/>
    <w:rsid w:val="00C54014"/>
    <w:rsid w:val="00C54B67"/>
    <w:rsid w:val="00C5740B"/>
    <w:rsid w:val="00C7387B"/>
    <w:rsid w:val="00C80356"/>
    <w:rsid w:val="00C85067"/>
    <w:rsid w:val="00C957BF"/>
    <w:rsid w:val="00CA1629"/>
    <w:rsid w:val="00CC2170"/>
    <w:rsid w:val="00CF6F63"/>
    <w:rsid w:val="00D012EB"/>
    <w:rsid w:val="00D37635"/>
    <w:rsid w:val="00D42EAD"/>
    <w:rsid w:val="00D5153F"/>
    <w:rsid w:val="00D52B09"/>
    <w:rsid w:val="00D66235"/>
    <w:rsid w:val="00D66754"/>
    <w:rsid w:val="00D7086D"/>
    <w:rsid w:val="00D75004"/>
    <w:rsid w:val="00DA5349"/>
    <w:rsid w:val="00DB1264"/>
    <w:rsid w:val="00DB4297"/>
    <w:rsid w:val="00DB4830"/>
    <w:rsid w:val="00DB7EBA"/>
    <w:rsid w:val="00DC59A0"/>
    <w:rsid w:val="00DC69C4"/>
    <w:rsid w:val="00DE3FBB"/>
    <w:rsid w:val="00DF14A1"/>
    <w:rsid w:val="00E01874"/>
    <w:rsid w:val="00E038C5"/>
    <w:rsid w:val="00E131EF"/>
    <w:rsid w:val="00E402B7"/>
    <w:rsid w:val="00E5077E"/>
    <w:rsid w:val="00E53B47"/>
    <w:rsid w:val="00E564BC"/>
    <w:rsid w:val="00E64A7A"/>
    <w:rsid w:val="00E82810"/>
    <w:rsid w:val="00E92AF8"/>
    <w:rsid w:val="00EB0ADC"/>
    <w:rsid w:val="00EC31AE"/>
    <w:rsid w:val="00ED0167"/>
    <w:rsid w:val="00EF7327"/>
    <w:rsid w:val="00F50290"/>
    <w:rsid w:val="00F67D50"/>
    <w:rsid w:val="00F72DD4"/>
    <w:rsid w:val="00F759ED"/>
    <w:rsid w:val="00F8660F"/>
    <w:rsid w:val="00F920EE"/>
    <w:rsid w:val="00FB0ADE"/>
    <w:rsid w:val="00FB4A1E"/>
    <w:rsid w:val="00FB61FD"/>
    <w:rsid w:val="00FB7720"/>
    <w:rsid w:val="00FD7DDD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8B2E6"/>
  <w15:docId w15:val="{EDCA190D-A5E7-42C3-917A-6DF29BF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A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290A9A"/>
    <w:pPr>
      <w:spacing w:before="100" w:after="100"/>
      <w:ind w:left="360" w:right="360"/>
    </w:pPr>
    <w:rPr>
      <w:snapToGrid w:val="0"/>
      <w:szCs w:val="20"/>
    </w:rPr>
  </w:style>
  <w:style w:type="character" w:styleId="Strong">
    <w:name w:val="Strong"/>
    <w:basedOn w:val="DefaultParagraphFont"/>
    <w:qFormat/>
    <w:rsid w:val="00290A9A"/>
    <w:rPr>
      <w:b/>
    </w:rPr>
  </w:style>
  <w:style w:type="paragraph" w:styleId="Footer">
    <w:name w:val="footer"/>
    <w:basedOn w:val="Normal"/>
    <w:rsid w:val="00290A9A"/>
    <w:pPr>
      <w:tabs>
        <w:tab w:val="center" w:pos="4320"/>
        <w:tab w:val="right" w:pos="8640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290A9A"/>
  </w:style>
  <w:style w:type="paragraph" w:styleId="Header">
    <w:name w:val="header"/>
    <w:basedOn w:val="Normal"/>
    <w:rsid w:val="009D1E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800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E03E7"/>
    <w:rPr>
      <w:sz w:val="16"/>
      <w:szCs w:val="16"/>
    </w:rPr>
  </w:style>
  <w:style w:type="paragraph" w:styleId="CommentText">
    <w:name w:val="annotation text"/>
    <w:basedOn w:val="Normal"/>
    <w:semiHidden/>
    <w:rsid w:val="004E03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3E7"/>
    <w:rPr>
      <w:b/>
      <w:bCs/>
    </w:rPr>
  </w:style>
  <w:style w:type="character" w:styleId="Emphasis">
    <w:name w:val="Emphasis"/>
    <w:basedOn w:val="DefaultParagraphFont"/>
    <w:qFormat/>
    <w:rsid w:val="00241DF9"/>
    <w:rPr>
      <w:i/>
      <w:iCs/>
    </w:rPr>
  </w:style>
  <w:style w:type="paragraph" w:styleId="NormalWeb">
    <w:name w:val="Normal (Web)"/>
    <w:basedOn w:val="Normal"/>
    <w:rsid w:val="0005296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54B67"/>
    <w:rPr>
      <w:sz w:val="24"/>
      <w:szCs w:val="24"/>
      <w:lang w:eastAsia="en-US"/>
    </w:rPr>
  </w:style>
  <w:style w:type="table" w:styleId="TableGrid">
    <w:name w:val="Table Grid"/>
    <w:basedOn w:val="TableNormal"/>
    <w:rsid w:val="0088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0DF6941A0B4C9591D278DE8B9308" ma:contentTypeVersion="12" ma:contentTypeDescription="Create a new document." ma:contentTypeScope="" ma:versionID="deca069dac59dad87607df7b735e55fc">
  <xsd:schema xmlns:xsd="http://www.w3.org/2001/XMLSchema" xmlns:xs="http://www.w3.org/2001/XMLSchema" xmlns:p="http://schemas.microsoft.com/office/2006/metadata/properties" xmlns:ns2="ea24cbf0-cef3-4125-a768-b30b2a319327" xmlns:ns3="fbe9446f-1ac4-4d15-9e00-b0a9365a8a7f" targetNamespace="http://schemas.microsoft.com/office/2006/metadata/properties" ma:root="true" ma:fieldsID="a17f41859428f81e9a9ba27c201b4277" ns2:_="" ns3:_="">
    <xsd:import namespace="ea24cbf0-cef3-4125-a768-b30b2a319327"/>
    <xsd:import namespace="fbe9446f-1ac4-4d15-9e00-b0a9365a8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cbf0-cef3-4125-a768-b30b2a319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9446f-1ac4-4d15-9e00-b0a9365a8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995A-253E-4456-ABC6-AB9B0BEA6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240C0-E802-47BA-848E-D7812A7B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4cbf0-cef3-4125-a768-b30b2a319327"/>
    <ds:schemaRef ds:uri="fbe9446f-1ac4-4d15-9e00-b0a9365a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21669-8D90-4228-8214-5FD843EF8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4A189-0C94-41D5-8701-E42597B8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</dc:title>
  <dc:creator>weskells1</dc:creator>
  <cp:lastModifiedBy>Golder, Mark (RHS) Staff</cp:lastModifiedBy>
  <cp:revision>16</cp:revision>
  <cp:lastPrinted>2019-06-06T10:51:00Z</cp:lastPrinted>
  <dcterms:created xsi:type="dcterms:W3CDTF">2016-05-17T12:08:00Z</dcterms:created>
  <dcterms:modified xsi:type="dcterms:W3CDTF">2020-09-17T12:54:00Z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ABAAVOAfoSrQoyy6iWJWLk78HzlOfgcsVsGCylJvCkCn29/GsM22XBgD3dNWVRdE+pHw</vt:lpwstr>
  </property>
  <property fmtid="{D5CDD505-2E9C-101B-9397-08002B2CF9AE}" pid="3" name="MAIL_MSG_ID2">
    <vt:lpwstr>nWXN+7mQOYhDOUq5DnPjIsmALc6E63ivsuL2p0PgKP4EYVUIdzxgbw1+zvh_x000d_
RoRFBD2D/CAWk13ExdaJvvs0k4xGfQIcDKUpFg==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4AAAUmLmXdMZevTpQKrTDE4Mnrf7p6kLUTJvdun55YjsTnmAC+1k9ztNSg==</vt:lpwstr>
  </property>
  <property fmtid="{D5CDD505-2E9C-101B-9397-08002B2CF9AE}" pid="6" name="tikitDocRef">
    <vt:lpwstr>Legal01#8710268v1[AYF]/[LISA]</vt:lpwstr>
  </property>
  <property fmtid="{D5CDD505-2E9C-101B-9397-08002B2CF9AE}" pid="7" name="tikitDocNumber">
    <vt:lpwstr>8710268</vt:lpwstr>
  </property>
  <property fmtid="{D5CDD505-2E9C-101B-9397-08002B2CF9AE}" pid="8" name="tikitVersionNumber">
    <vt:lpwstr>1</vt:lpwstr>
  </property>
  <property fmtid="{D5CDD505-2E9C-101B-9397-08002B2CF9AE}" pid="9" name="tikitDocDescription">
    <vt:lpwstr>GDST equal opps policy - our amends accepted</vt:lpwstr>
  </property>
  <property fmtid="{D5CDD505-2E9C-101B-9397-08002B2CF9AE}" pid="10" name="tikitAuthorID">
    <vt:lpwstr>AYF</vt:lpwstr>
  </property>
  <property fmtid="{D5CDD505-2E9C-101B-9397-08002B2CF9AE}" pid="11" name="tikitAuthor">
    <vt:lpwstr>Anna Fletcher</vt:lpwstr>
  </property>
  <property fmtid="{D5CDD505-2E9C-101B-9397-08002B2CF9AE}" pid="12" name="tikitTypistID">
    <vt:lpwstr>LISA</vt:lpwstr>
  </property>
  <property fmtid="{D5CDD505-2E9C-101B-9397-08002B2CF9AE}" pid="13" name="tikitClientID">
    <vt:lpwstr/>
  </property>
  <property fmtid="{D5CDD505-2E9C-101B-9397-08002B2CF9AE}" pid="14" name="tikitClientDescription">
    <vt:lpwstr/>
  </property>
  <property fmtid="{D5CDD505-2E9C-101B-9397-08002B2CF9AE}" pid="15" name="tikitMatterDescription">
    <vt:lpwstr/>
  </property>
  <property fmtid="{D5CDD505-2E9C-101B-9397-08002B2CF9AE}" pid="16" name="tikitMatterID">
    <vt:lpwstr/>
  </property>
  <property fmtid="{D5CDD505-2E9C-101B-9397-08002B2CF9AE}" pid="17" name="_NewReviewCycle">
    <vt:lpwstr/>
  </property>
  <property fmtid="{D5CDD505-2E9C-101B-9397-08002B2CF9AE}" pid="18" name="ContentTypeId">
    <vt:lpwstr>0x0101004E3C0DF6941A0B4C9591D278DE8B9308</vt:lpwstr>
  </property>
  <property fmtid="{D5CDD505-2E9C-101B-9397-08002B2CF9AE}" pid="19" name="Order">
    <vt:r8>4600</vt:r8>
  </property>
</Properties>
</file>